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F38" w:rsidRPr="002D5E56" w:rsidRDefault="00E02F38" w:rsidP="00E02F38">
      <w:pPr>
        <w:pStyle w:val="Nagwek"/>
        <w:tabs>
          <w:tab w:val="clear" w:pos="4536"/>
          <w:tab w:val="clear" w:pos="9072"/>
        </w:tabs>
        <w:spacing w:line="360" w:lineRule="auto"/>
        <w:rPr>
          <w:sz w:val="32"/>
        </w:rPr>
      </w:pPr>
      <w:r w:rsidRPr="002D5E56">
        <w:rPr>
          <w:sz w:val="24"/>
          <w:szCs w:val="24"/>
        </w:rPr>
        <w:t xml:space="preserve">Sygn. XXV C 2440/18               </w:t>
      </w:r>
      <w:r w:rsidRPr="002D5E56">
        <w:rPr>
          <w:sz w:val="32"/>
        </w:rPr>
        <w:t xml:space="preserve">                    </w:t>
      </w:r>
    </w:p>
    <w:p w:rsidR="00E02F38" w:rsidRDefault="00E02F38" w:rsidP="00E02F38">
      <w:pPr>
        <w:pStyle w:val="Nagwek"/>
        <w:tabs>
          <w:tab w:val="clear" w:pos="4536"/>
          <w:tab w:val="clear" w:pos="9072"/>
        </w:tabs>
        <w:spacing w:line="360" w:lineRule="auto"/>
        <w:jc w:val="center"/>
        <w:rPr>
          <w:sz w:val="32"/>
        </w:rPr>
      </w:pPr>
      <w:r w:rsidRPr="002D5E56">
        <w:rPr>
          <w:noProof/>
          <w:sz w:val="24"/>
          <w:szCs w:val="24"/>
          <w:lang w:eastAsia="pl-PL"/>
        </w:rPr>
        <w:drawing>
          <wp:inline distT="0" distB="0" distL="0" distR="0" wp14:anchorId="31BDAFA6" wp14:editId="55084EA4">
            <wp:extent cx="1047750" cy="854075"/>
            <wp:effectExtent l="0" t="0" r="0" b="3175"/>
            <wp:docPr id="1" name="Obraz 1" descr="Orze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zeł"/>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0" cy="854075"/>
                    </a:xfrm>
                    <a:prstGeom prst="rect">
                      <a:avLst/>
                    </a:prstGeom>
                    <a:noFill/>
                    <a:ln>
                      <a:noFill/>
                    </a:ln>
                  </pic:spPr>
                </pic:pic>
              </a:graphicData>
            </a:graphic>
          </wp:inline>
        </w:drawing>
      </w:r>
    </w:p>
    <w:p w:rsidR="00E02F38" w:rsidRPr="00695EB0" w:rsidRDefault="00E02F38" w:rsidP="00E02F38">
      <w:pPr>
        <w:pStyle w:val="Nagwek"/>
        <w:tabs>
          <w:tab w:val="clear" w:pos="4536"/>
          <w:tab w:val="clear" w:pos="9072"/>
        </w:tabs>
        <w:spacing w:line="360" w:lineRule="auto"/>
        <w:jc w:val="center"/>
        <w:rPr>
          <w:b/>
          <w:i/>
          <w:sz w:val="28"/>
          <w:szCs w:val="28"/>
        </w:rPr>
      </w:pPr>
      <w:r>
        <w:rPr>
          <w:b/>
          <w:sz w:val="28"/>
          <w:szCs w:val="28"/>
        </w:rPr>
        <w:t>WYROK</w:t>
      </w:r>
      <w:r>
        <w:rPr>
          <w:b/>
          <w:sz w:val="28"/>
          <w:szCs w:val="28"/>
        </w:rPr>
        <w:br/>
      </w:r>
      <w:r w:rsidRPr="00695EB0">
        <w:rPr>
          <w:b/>
          <w:sz w:val="28"/>
          <w:szCs w:val="28"/>
        </w:rPr>
        <w:t>W IMIENIU RZECZ</w:t>
      </w:r>
      <w:r>
        <w:rPr>
          <w:b/>
          <w:sz w:val="28"/>
          <w:szCs w:val="28"/>
        </w:rPr>
        <w:t>Y</w:t>
      </w:r>
      <w:r w:rsidRPr="00695EB0">
        <w:rPr>
          <w:b/>
          <w:sz w:val="28"/>
          <w:szCs w:val="28"/>
        </w:rPr>
        <w:t>POSPOLITEJ POLSKIEJ</w:t>
      </w:r>
    </w:p>
    <w:p w:rsidR="00E02F38" w:rsidRPr="002832CB" w:rsidRDefault="00E02F38" w:rsidP="00E02F38">
      <w:pPr>
        <w:pStyle w:val="Nagwek"/>
        <w:tabs>
          <w:tab w:val="clear" w:pos="4536"/>
          <w:tab w:val="clear" w:pos="9072"/>
        </w:tabs>
        <w:spacing w:line="480" w:lineRule="auto"/>
        <w:jc w:val="right"/>
        <w:rPr>
          <w:rFonts w:ascii="Bookman Old Style" w:hAnsi="Bookman Old Style"/>
          <w:szCs w:val="24"/>
        </w:rPr>
      </w:pPr>
    </w:p>
    <w:p w:rsidR="00E02F38" w:rsidRPr="00BA6396" w:rsidRDefault="00E02F38" w:rsidP="00E02F38">
      <w:pPr>
        <w:pStyle w:val="Nagwek"/>
        <w:tabs>
          <w:tab w:val="clear" w:pos="4536"/>
          <w:tab w:val="clear" w:pos="9072"/>
        </w:tabs>
        <w:spacing w:line="480" w:lineRule="auto"/>
        <w:jc w:val="right"/>
        <w:rPr>
          <w:szCs w:val="24"/>
        </w:rPr>
      </w:pPr>
      <w:r w:rsidRPr="00BA6396">
        <w:rPr>
          <w:szCs w:val="24"/>
        </w:rPr>
        <w:t xml:space="preserve">Dnia </w:t>
      </w:r>
      <w:r>
        <w:rPr>
          <w:szCs w:val="24"/>
        </w:rPr>
        <w:t>11 czerwca 2019</w:t>
      </w:r>
      <w:r w:rsidRPr="00BA6396">
        <w:rPr>
          <w:szCs w:val="24"/>
        </w:rPr>
        <w:t xml:space="preserve"> roku</w:t>
      </w:r>
    </w:p>
    <w:p w:rsidR="00E02F38" w:rsidRPr="00BA6396" w:rsidRDefault="00E02F38" w:rsidP="00E02F38">
      <w:pPr>
        <w:pStyle w:val="Nagwek"/>
        <w:tabs>
          <w:tab w:val="clear" w:pos="4536"/>
          <w:tab w:val="clear" w:pos="9072"/>
        </w:tabs>
        <w:jc w:val="both"/>
        <w:rPr>
          <w:szCs w:val="24"/>
        </w:rPr>
      </w:pPr>
      <w:r w:rsidRPr="00BA6396">
        <w:rPr>
          <w:szCs w:val="24"/>
        </w:rPr>
        <w:t xml:space="preserve">Sąd  </w:t>
      </w:r>
      <w:r>
        <w:rPr>
          <w:szCs w:val="24"/>
        </w:rPr>
        <w:t>Okręgowy</w:t>
      </w:r>
      <w:r w:rsidRPr="00BA6396">
        <w:rPr>
          <w:szCs w:val="24"/>
        </w:rPr>
        <w:t xml:space="preserve"> </w:t>
      </w:r>
      <w:r>
        <w:rPr>
          <w:szCs w:val="24"/>
        </w:rPr>
        <w:t xml:space="preserve">w Warszawie </w:t>
      </w:r>
      <w:r w:rsidRPr="00BA6396">
        <w:rPr>
          <w:szCs w:val="24"/>
        </w:rPr>
        <w:t xml:space="preserve">w </w:t>
      </w:r>
      <w:r>
        <w:rPr>
          <w:szCs w:val="24"/>
        </w:rPr>
        <w:t xml:space="preserve">XXV </w:t>
      </w:r>
      <w:r w:rsidRPr="00BA6396">
        <w:rPr>
          <w:szCs w:val="24"/>
        </w:rPr>
        <w:t xml:space="preserve">Wydziale </w:t>
      </w:r>
      <w:r>
        <w:rPr>
          <w:szCs w:val="24"/>
        </w:rPr>
        <w:t>Cywilnym</w:t>
      </w:r>
      <w:r w:rsidRPr="00BA6396">
        <w:rPr>
          <w:szCs w:val="24"/>
        </w:rPr>
        <w:t>,</w:t>
      </w:r>
      <w:r>
        <w:rPr>
          <w:szCs w:val="24"/>
        </w:rPr>
        <w:t xml:space="preserve"> </w:t>
      </w:r>
      <w:r w:rsidRPr="00BA6396">
        <w:rPr>
          <w:szCs w:val="24"/>
        </w:rPr>
        <w:t xml:space="preserve">w  składzie </w:t>
      </w:r>
      <w:r>
        <w:rPr>
          <w:szCs w:val="24"/>
        </w:rPr>
        <w:t>następującym</w:t>
      </w:r>
      <w:r w:rsidRPr="00BA6396">
        <w:rPr>
          <w:szCs w:val="24"/>
        </w:rPr>
        <w:t>:</w:t>
      </w:r>
    </w:p>
    <w:p w:rsidR="00E02F38" w:rsidRDefault="00E02F38" w:rsidP="00E02F38">
      <w:pPr>
        <w:pStyle w:val="Nagwek"/>
        <w:tabs>
          <w:tab w:val="clear" w:pos="4536"/>
          <w:tab w:val="clear" w:pos="9072"/>
        </w:tabs>
        <w:spacing w:line="360" w:lineRule="auto"/>
        <w:ind w:left="1416" w:firstLine="2"/>
        <w:jc w:val="both"/>
        <w:rPr>
          <w:szCs w:val="24"/>
        </w:rPr>
      </w:pPr>
    </w:p>
    <w:p w:rsidR="00E02F38" w:rsidRDefault="00E02F38" w:rsidP="00E02F38">
      <w:pPr>
        <w:pStyle w:val="Nagwek"/>
        <w:tabs>
          <w:tab w:val="clear" w:pos="4536"/>
          <w:tab w:val="clear" w:pos="9072"/>
        </w:tabs>
        <w:spacing w:line="360" w:lineRule="auto"/>
        <w:ind w:left="1416" w:firstLine="2"/>
        <w:jc w:val="both"/>
        <w:rPr>
          <w:b/>
          <w:szCs w:val="24"/>
        </w:rPr>
      </w:pPr>
      <w:r w:rsidRPr="00BA6396">
        <w:rPr>
          <w:szCs w:val="24"/>
        </w:rPr>
        <w:t>Przewodniczący :</w:t>
      </w:r>
      <w:r w:rsidRPr="00BA6396">
        <w:rPr>
          <w:szCs w:val="24"/>
        </w:rPr>
        <w:tab/>
      </w:r>
      <w:r>
        <w:rPr>
          <w:b/>
          <w:szCs w:val="24"/>
        </w:rPr>
        <w:t>S</w:t>
      </w:r>
      <w:r w:rsidRPr="00BA6396">
        <w:rPr>
          <w:b/>
          <w:szCs w:val="24"/>
        </w:rPr>
        <w:t>SR</w:t>
      </w:r>
      <w:r>
        <w:rPr>
          <w:b/>
          <w:szCs w:val="24"/>
        </w:rPr>
        <w:t xml:space="preserve"> (del.)</w:t>
      </w:r>
      <w:r w:rsidRPr="00BA6396">
        <w:rPr>
          <w:b/>
          <w:szCs w:val="24"/>
        </w:rPr>
        <w:tab/>
      </w:r>
      <w:r w:rsidRPr="002D5E56">
        <w:rPr>
          <w:b/>
          <w:szCs w:val="24"/>
        </w:rPr>
        <w:t>Juliusz Niezawisły</w:t>
      </w:r>
    </w:p>
    <w:p w:rsidR="00E02F38" w:rsidRPr="00B125F2" w:rsidRDefault="00E02F38" w:rsidP="00E02F38">
      <w:pPr>
        <w:pStyle w:val="Nagwek"/>
        <w:tabs>
          <w:tab w:val="clear" w:pos="4536"/>
          <w:tab w:val="clear" w:pos="9072"/>
        </w:tabs>
        <w:spacing w:line="360" w:lineRule="auto"/>
        <w:ind w:left="1416" w:firstLine="2"/>
        <w:jc w:val="both"/>
        <w:rPr>
          <w:b/>
          <w:szCs w:val="24"/>
        </w:rPr>
      </w:pPr>
      <w:r w:rsidRPr="00BA6396">
        <w:rPr>
          <w:szCs w:val="24"/>
        </w:rPr>
        <w:t>Protokolant :</w:t>
      </w:r>
      <w:r w:rsidRPr="00BA6396">
        <w:rPr>
          <w:szCs w:val="24"/>
        </w:rPr>
        <w:tab/>
        <w:t xml:space="preserve"> </w:t>
      </w:r>
      <w:r>
        <w:rPr>
          <w:szCs w:val="24"/>
        </w:rPr>
        <w:tab/>
      </w:r>
      <w:r w:rsidRPr="00B125F2">
        <w:rPr>
          <w:b/>
          <w:szCs w:val="24"/>
        </w:rPr>
        <w:t>Janusz Rozważny</w:t>
      </w:r>
    </w:p>
    <w:p w:rsidR="00E02F38" w:rsidRPr="00BA6396" w:rsidRDefault="00E02F38" w:rsidP="00E02F38">
      <w:pPr>
        <w:pStyle w:val="Nagwek"/>
        <w:tabs>
          <w:tab w:val="clear" w:pos="4536"/>
          <w:tab w:val="clear" w:pos="9072"/>
        </w:tabs>
        <w:spacing w:line="360" w:lineRule="auto"/>
        <w:ind w:left="1416" w:firstLine="2"/>
        <w:jc w:val="both"/>
        <w:rPr>
          <w:szCs w:val="24"/>
        </w:rPr>
      </w:pPr>
      <w:r w:rsidRPr="00BA6396">
        <w:rPr>
          <w:szCs w:val="24"/>
        </w:rPr>
        <w:tab/>
        <w:t xml:space="preserve"> </w:t>
      </w:r>
    </w:p>
    <w:p w:rsidR="00E02F38" w:rsidRDefault="00E02F38" w:rsidP="00E02F38">
      <w:pPr>
        <w:pStyle w:val="Nagwek"/>
        <w:tabs>
          <w:tab w:val="clear" w:pos="4536"/>
          <w:tab w:val="clear" w:pos="9072"/>
        </w:tabs>
        <w:spacing w:line="480" w:lineRule="auto"/>
        <w:jc w:val="both"/>
        <w:rPr>
          <w:szCs w:val="24"/>
        </w:rPr>
      </w:pPr>
      <w:r w:rsidRPr="00BA6396">
        <w:rPr>
          <w:szCs w:val="24"/>
        </w:rPr>
        <w:t xml:space="preserve">po rozpoznaniu </w:t>
      </w:r>
      <w:r>
        <w:rPr>
          <w:szCs w:val="24"/>
        </w:rPr>
        <w:t xml:space="preserve">na rozprawie </w:t>
      </w:r>
      <w:r w:rsidRPr="00BA6396">
        <w:rPr>
          <w:szCs w:val="24"/>
        </w:rPr>
        <w:t xml:space="preserve">w dniu </w:t>
      </w:r>
      <w:r>
        <w:rPr>
          <w:szCs w:val="24"/>
        </w:rPr>
        <w:t>11 czerwca 2019 roku</w:t>
      </w:r>
      <w:r w:rsidRPr="00BA6396">
        <w:rPr>
          <w:szCs w:val="24"/>
        </w:rPr>
        <w:t xml:space="preserve"> </w:t>
      </w:r>
      <w:r>
        <w:rPr>
          <w:szCs w:val="24"/>
        </w:rPr>
        <w:t>w Warszawie</w:t>
      </w:r>
    </w:p>
    <w:p w:rsidR="00E02F38" w:rsidRDefault="00E02F38" w:rsidP="00E02F38">
      <w:pPr>
        <w:pStyle w:val="Nagwek"/>
        <w:tabs>
          <w:tab w:val="clear" w:pos="4536"/>
          <w:tab w:val="clear" w:pos="9072"/>
        </w:tabs>
        <w:spacing w:line="480" w:lineRule="auto"/>
      </w:pPr>
      <w:r>
        <w:rPr>
          <w:szCs w:val="24"/>
        </w:rPr>
        <w:t xml:space="preserve">sprawy z powództwa </w:t>
      </w:r>
      <w:proofErr w:type="spellStart"/>
      <w:r>
        <w:t>Männermode-Großhandelsgesellschaft</w:t>
      </w:r>
      <w:proofErr w:type="spellEnd"/>
      <w:r>
        <w:t xml:space="preserve"> mit </w:t>
      </w:r>
      <w:proofErr w:type="spellStart"/>
      <w:r>
        <w:t>beschränkter</w:t>
      </w:r>
      <w:proofErr w:type="spellEnd"/>
      <w:r>
        <w:t xml:space="preserve"> </w:t>
      </w:r>
      <w:proofErr w:type="spellStart"/>
      <w:r>
        <w:t>Haftung</w:t>
      </w:r>
      <w:proofErr w:type="spellEnd"/>
      <w:r>
        <w:t xml:space="preserve"> (spółki z o.o. prawa niemieckiego) z siedzibą w </w:t>
      </w:r>
      <w:proofErr w:type="spellStart"/>
      <w:r>
        <w:t>Offenheim</w:t>
      </w:r>
      <w:proofErr w:type="spellEnd"/>
      <w:r>
        <w:t xml:space="preserve"> (Niemcy), działającą przez Oddział w Polsce z siedzibą w Warszawie</w:t>
      </w:r>
      <w:r>
        <w:br/>
        <w:t>przeciwko Barbarze Nowak</w:t>
      </w:r>
    </w:p>
    <w:p w:rsidR="00E02F38" w:rsidRDefault="00E02F38" w:rsidP="00E02F38">
      <w:pPr>
        <w:pStyle w:val="Nagwek"/>
        <w:tabs>
          <w:tab w:val="clear" w:pos="4536"/>
          <w:tab w:val="clear" w:pos="9072"/>
        </w:tabs>
        <w:spacing w:line="480" w:lineRule="auto"/>
        <w:jc w:val="both"/>
      </w:pPr>
      <w:r>
        <w:t>o zapłatę</w:t>
      </w:r>
    </w:p>
    <w:p w:rsidR="00E02F38" w:rsidRPr="00833140" w:rsidRDefault="00E02F38" w:rsidP="00E02F38">
      <w:pPr>
        <w:pStyle w:val="Nagwek"/>
        <w:numPr>
          <w:ilvl w:val="0"/>
          <w:numId w:val="2"/>
        </w:numPr>
        <w:tabs>
          <w:tab w:val="clear" w:pos="4536"/>
          <w:tab w:val="clear" w:pos="9072"/>
        </w:tabs>
        <w:spacing w:line="480" w:lineRule="auto"/>
      </w:pPr>
      <w:r w:rsidRPr="00833140">
        <w:rPr>
          <w:szCs w:val="24"/>
        </w:rPr>
        <w:t xml:space="preserve">uchyla </w:t>
      </w:r>
      <w:r>
        <w:rPr>
          <w:szCs w:val="24"/>
        </w:rPr>
        <w:t xml:space="preserve">w całości </w:t>
      </w:r>
      <w:r w:rsidRPr="00833140">
        <w:rPr>
          <w:szCs w:val="24"/>
        </w:rPr>
        <w:t>nakaz zapłaty w postępowaniu nakazowym wydany przez tutejszy Sąd w dniu 15 listopada 2018</w:t>
      </w:r>
      <w:r>
        <w:rPr>
          <w:szCs w:val="24"/>
        </w:rPr>
        <w:t> </w:t>
      </w:r>
      <w:r w:rsidRPr="00833140">
        <w:rPr>
          <w:szCs w:val="24"/>
        </w:rPr>
        <w:t xml:space="preserve">r., sygn. XXV </w:t>
      </w:r>
      <w:proofErr w:type="spellStart"/>
      <w:r w:rsidRPr="00833140">
        <w:rPr>
          <w:szCs w:val="24"/>
        </w:rPr>
        <w:t>Nc</w:t>
      </w:r>
      <w:proofErr w:type="spellEnd"/>
      <w:r w:rsidRPr="00833140">
        <w:rPr>
          <w:szCs w:val="24"/>
        </w:rPr>
        <w:t xml:space="preserve"> 508/18 i oddala powództwo</w:t>
      </w:r>
      <w:r>
        <w:rPr>
          <w:szCs w:val="24"/>
        </w:rPr>
        <w:t xml:space="preserve"> w całości</w:t>
      </w:r>
      <w:r w:rsidRPr="00833140">
        <w:rPr>
          <w:szCs w:val="24"/>
        </w:rPr>
        <w:t>;</w:t>
      </w:r>
    </w:p>
    <w:p w:rsidR="00E02F38" w:rsidRDefault="00E02F38" w:rsidP="00E02F38">
      <w:pPr>
        <w:pStyle w:val="Nagwek"/>
        <w:numPr>
          <w:ilvl w:val="0"/>
          <w:numId w:val="2"/>
        </w:numPr>
        <w:tabs>
          <w:tab w:val="clear" w:pos="4536"/>
          <w:tab w:val="clear" w:pos="9072"/>
        </w:tabs>
        <w:spacing w:line="480" w:lineRule="auto"/>
      </w:pPr>
      <w:r>
        <w:rPr>
          <w:szCs w:val="24"/>
        </w:rPr>
        <w:t xml:space="preserve">zasądza od powódki na rzecz pozwanej kwotę </w:t>
      </w:r>
      <w:r>
        <w:t>7 217 zł (siedem tysięcy dwieście siedemnaście złotych) tytułem zwrotu kosztów zastępstwa adwokackiego i opłaty skarbowej od pełnomocnictwa;</w:t>
      </w:r>
    </w:p>
    <w:p w:rsidR="00E02F38" w:rsidRDefault="00E02F38" w:rsidP="00E02F38">
      <w:pPr>
        <w:pStyle w:val="Nagwek"/>
        <w:numPr>
          <w:ilvl w:val="0"/>
          <w:numId w:val="2"/>
        </w:numPr>
        <w:tabs>
          <w:tab w:val="clear" w:pos="4536"/>
          <w:tab w:val="clear" w:pos="9072"/>
        </w:tabs>
        <w:spacing w:line="480" w:lineRule="auto"/>
      </w:pPr>
      <w:r>
        <w:t xml:space="preserve">nakazuje pobrać od powódki na rzecz Skarbu Państwa – Kasy Sądu Okręgowego w Warszawie </w:t>
      </w:r>
      <w:r w:rsidRPr="00833140">
        <w:t>kwotę 72</w:t>
      </w:r>
      <w:r>
        <w:t> </w:t>
      </w:r>
      <w:r w:rsidRPr="00833140">
        <w:t xml:space="preserve">876 zł </w:t>
      </w:r>
      <w:r>
        <w:t xml:space="preserve">(siedemdziesiąt dwa tysiące osiemset siedemdziesiąt sześć złotych) </w:t>
      </w:r>
      <w:r w:rsidRPr="00833140">
        <w:t xml:space="preserve">tytułem części kosztów sądowych tymczasowo poniesionych w sprawie przez Skarb Państwa-Sąd </w:t>
      </w:r>
      <w:r>
        <w:t>Okręgowy w Warszawie.</w:t>
      </w:r>
    </w:p>
    <w:p w:rsidR="00E02F38" w:rsidRPr="00E02F38" w:rsidRDefault="00E02F38" w:rsidP="00E02F38">
      <w:pPr>
        <w:ind w:left="1701"/>
        <w:jc w:val="center"/>
        <w:rPr>
          <w:rFonts w:eastAsia="Times New Roman"/>
          <w:color w:val="2F5496" w:themeColor="accent5" w:themeShade="BF"/>
        </w:rPr>
      </w:pPr>
      <w:r w:rsidRPr="00E02F38">
        <w:rPr>
          <w:noProof/>
          <w:color w:val="2F5496" w:themeColor="accent5" w:themeShade="BF"/>
          <w:lang w:eastAsia="pl-PL"/>
        </w:rPr>
        <w:drawing>
          <wp:anchor distT="0" distB="0" distL="114300" distR="114300" simplePos="0" relativeHeight="251658240" behindDoc="0" locked="0" layoutInCell="1" allowOverlap="1" wp14:anchorId="44940AC0" wp14:editId="7E6D3659">
            <wp:simplePos x="0" y="0"/>
            <wp:positionH relativeFrom="column">
              <wp:posOffset>424180</wp:posOffset>
            </wp:positionH>
            <wp:positionV relativeFrom="paragraph">
              <wp:posOffset>10160</wp:posOffset>
            </wp:positionV>
            <wp:extent cx="1786890" cy="1285875"/>
            <wp:effectExtent l="0" t="0" r="3810" b="952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6890" cy="1285875"/>
                    </a:xfrm>
                    <a:prstGeom prst="rect">
                      <a:avLst/>
                    </a:prstGeom>
                    <a:noFill/>
                    <a:ln>
                      <a:noFill/>
                    </a:ln>
                  </pic:spPr>
                </pic:pic>
              </a:graphicData>
            </a:graphic>
          </wp:anchor>
        </w:drawing>
      </w:r>
      <w:r w:rsidRPr="00E02F38">
        <w:rPr>
          <w:rFonts w:eastAsia="Times New Roman"/>
          <w:color w:val="2F5496" w:themeColor="accent5" w:themeShade="BF"/>
        </w:rPr>
        <w:t>Na oryginale właściwe podpisy</w:t>
      </w:r>
      <w:r w:rsidRPr="00E02F38">
        <w:rPr>
          <w:rFonts w:eastAsia="Times New Roman"/>
          <w:color w:val="2F5496" w:themeColor="accent5" w:themeShade="BF"/>
        </w:rPr>
        <w:br/>
        <w:t>Za zgodność świadczy</w:t>
      </w:r>
      <w:r w:rsidRPr="00E02F38">
        <w:rPr>
          <w:rFonts w:eastAsia="Times New Roman"/>
          <w:color w:val="2F5496" w:themeColor="accent5" w:themeShade="BF"/>
        </w:rPr>
        <w:br/>
      </w:r>
    </w:p>
    <w:p w:rsidR="00E02F38" w:rsidRPr="00E02F38" w:rsidRDefault="00E02F38" w:rsidP="00E02F38">
      <w:pPr>
        <w:ind w:left="1701"/>
        <w:jc w:val="center"/>
        <w:rPr>
          <w:rFonts w:eastAsia="Times New Roman"/>
          <w:color w:val="2F5496" w:themeColor="accent5" w:themeShade="BF"/>
        </w:rPr>
      </w:pPr>
      <w:r w:rsidRPr="00E02F38">
        <w:rPr>
          <w:rFonts w:eastAsia="Times New Roman"/>
          <w:color w:val="2F5496" w:themeColor="accent5" w:themeShade="BF"/>
        </w:rPr>
        <w:t>Sekretarz sądowy</w:t>
      </w:r>
    </w:p>
    <w:p w:rsidR="00E02F38" w:rsidRPr="00E02F38" w:rsidRDefault="00E02F38" w:rsidP="00E02F38">
      <w:pPr>
        <w:ind w:left="1701"/>
        <w:jc w:val="center"/>
        <w:rPr>
          <w:rFonts w:eastAsia="Times New Roman"/>
          <w:i/>
          <w:color w:val="2F5496" w:themeColor="accent5" w:themeShade="BF"/>
        </w:rPr>
      </w:pPr>
    </w:p>
    <w:p w:rsidR="00E02F38" w:rsidRPr="00E02F38" w:rsidRDefault="00E02F38" w:rsidP="00E02F38">
      <w:pPr>
        <w:ind w:left="1701"/>
        <w:jc w:val="center"/>
        <w:rPr>
          <w:rFonts w:eastAsia="Times New Roman"/>
          <w:i/>
          <w:color w:val="2F5496" w:themeColor="accent5" w:themeShade="BF"/>
        </w:rPr>
      </w:pPr>
      <w:r w:rsidRPr="00E02F38">
        <w:rPr>
          <w:rFonts w:eastAsia="Times New Roman"/>
          <w:i/>
          <w:color w:val="2F5496" w:themeColor="accent5" w:themeShade="BF"/>
        </w:rPr>
        <w:t>Janusz Rozważny</w:t>
      </w:r>
    </w:p>
    <w:p w:rsidR="00E02F38" w:rsidRDefault="00E02F38" w:rsidP="00E02F38">
      <w:pPr>
        <w:ind w:left="1701"/>
        <w:jc w:val="center"/>
        <w:rPr>
          <w:rFonts w:eastAsia="Times New Roman"/>
        </w:rPr>
      </w:pPr>
      <w:r>
        <w:rPr>
          <w:rFonts w:eastAsia="Times New Roman"/>
        </w:rPr>
        <w:br/>
      </w:r>
    </w:p>
    <w:p w:rsidR="00E02F38" w:rsidRDefault="00E02F38" w:rsidP="00E02F38">
      <w:pPr>
        <w:pStyle w:val="Nagwek"/>
        <w:tabs>
          <w:tab w:val="clear" w:pos="4536"/>
          <w:tab w:val="clear" w:pos="9072"/>
        </w:tabs>
        <w:spacing w:line="480" w:lineRule="auto"/>
      </w:pPr>
    </w:p>
    <w:p w:rsidR="00E02F38" w:rsidRDefault="00E02F38" w:rsidP="00E02F38">
      <w:pPr>
        <w:rPr>
          <w:rFonts w:eastAsia="Times New Roman"/>
        </w:rPr>
      </w:pPr>
      <w:r>
        <w:rPr>
          <w:rFonts w:eastAsia="Times New Roman"/>
        </w:rPr>
        <w:br w:type="page"/>
      </w:r>
    </w:p>
    <w:p w:rsidR="00E02F38" w:rsidRDefault="00E02F38" w:rsidP="00E02F38">
      <w:pPr>
        <w:rPr>
          <w:rFonts w:eastAsia="Times New Roman"/>
        </w:rPr>
      </w:pPr>
    </w:p>
    <w:p w:rsidR="00E02F38" w:rsidRDefault="00E02F38" w:rsidP="00E02F38">
      <w:pPr>
        <w:rPr>
          <w:rFonts w:eastAsia="Times New Roman"/>
        </w:rPr>
      </w:pPr>
      <w:r>
        <w:rPr>
          <w:rFonts w:eastAsia="Times New Roman"/>
        </w:rPr>
        <w:t>Sygn. XXV C 2440/18</w:t>
      </w:r>
    </w:p>
    <w:p w:rsidR="00E02F38" w:rsidRDefault="00E02F38" w:rsidP="00E02F38">
      <w:pPr>
        <w:rPr>
          <w:rFonts w:eastAsia="Times New Roman"/>
        </w:rPr>
      </w:pPr>
    </w:p>
    <w:p w:rsidR="00E02F38" w:rsidRDefault="00E02F38" w:rsidP="00E02F38">
      <w:pPr>
        <w:rPr>
          <w:rFonts w:eastAsia="Times New Roman"/>
        </w:rPr>
      </w:pPr>
    </w:p>
    <w:p w:rsidR="00E02F38" w:rsidRPr="00B125F2" w:rsidRDefault="00E02F38" w:rsidP="00E02F38">
      <w:pPr>
        <w:jc w:val="center"/>
        <w:rPr>
          <w:rFonts w:eastAsia="Times New Roman"/>
          <w:b/>
        </w:rPr>
      </w:pPr>
      <w:r w:rsidRPr="00B125F2">
        <w:rPr>
          <w:rFonts w:eastAsia="Times New Roman"/>
          <w:b/>
        </w:rPr>
        <w:t>UZASADNIENIE</w:t>
      </w:r>
      <w:r w:rsidRPr="00B125F2">
        <w:rPr>
          <w:rFonts w:eastAsia="Times New Roman"/>
          <w:b/>
        </w:rPr>
        <w:br/>
        <w:t xml:space="preserve">wyroku Sądu Okręgowego z dnia 11 </w:t>
      </w:r>
      <w:r>
        <w:rPr>
          <w:rFonts w:eastAsia="Times New Roman"/>
          <w:b/>
        </w:rPr>
        <w:t xml:space="preserve">czerwca </w:t>
      </w:r>
      <w:r w:rsidRPr="00B125F2">
        <w:rPr>
          <w:rFonts w:eastAsia="Times New Roman"/>
          <w:b/>
        </w:rPr>
        <w:t>2019 r.</w:t>
      </w:r>
    </w:p>
    <w:p w:rsidR="00E02F38" w:rsidRDefault="00E02F38" w:rsidP="00E02F38">
      <w:pPr>
        <w:jc w:val="center"/>
        <w:rPr>
          <w:rFonts w:eastAsia="Times New Roman"/>
        </w:rPr>
      </w:pPr>
    </w:p>
    <w:p w:rsidR="00E02F38" w:rsidRDefault="00E02F38" w:rsidP="00E02F38">
      <w:pPr>
        <w:jc w:val="center"/>
        <w:rPr>
          <w:rFonts w:eastAsia="Times New Roman"/>
        </w:rPr>
      </w:pPr>
    </w:p>
    <w:p w:rsidR="00E02F38" w:rsidRPr="00B125F2" w:rsidRDefault="00E02F38" w:rsidP="00E02F38">
      <w:pPr>
        <w:ind w:firstLine="426"/>
        <w:jc w:val="both"/>
        <w:rPr>
          <w:rFonts w:eastAsia="Times New Roman"/>
        </w:rPr>
      </w:pPr>
      <w:r w:rsidRPr="00B125F2">
        <w:rPr>
          <w:rFonts w:eastAsia="Times New Roman"/>
        </w:rPr>
        <w:t xml:space="preserve">Pozwem, który wpłynął do Sądu dnia </w:t>
      </w:r>
      <w:r>
        <w:rPr>
          <w:rFonts w:eastAsia="Times New Roman"/>
        </w:rPr>
        <w:t>5 listopada 2018</w:t>
      </w:r>
      <w:r w:rsidRPr="00B125F2">
        <w:rPr>
          <w:rFonts w:eastAsia="Times New Roman"/>
        </w:rPr>
        <w:t xml:space="preserve"> r., powód </w:t>
      </w:r>
      <w:proofErr w:type="spellStart"/>
      <w:r w:rsidRPr="0057766F">
        <w:rPr>
          <w:rFonts w:eastAsia="Times New Roman"/>
        </w:rPr>
        <w:t>Männermode-Großhandelsgesellschaft</w:t>
      </w:r>
      <w:proofErr w:type="spellEnd"/>
      <w:r w:rsidRPr="0057766F">
        <w:rPr>
          <w:rFonts w:eastAsia="Times New Roman"/>
        </w:rPr>
        <w:t xml:space="preserve"> mit </w:t>
      </w:r>
      <w:proofErr w:type="spellStart"/>
      <w:r w:rsidRPr="0057766F">
        <w:rPr>
          <w:rFonts w:eastAsia="Times New Roman"/>
        </w:rPr>
        <w:t>beschränkter</w:t>
      </w:r>
      <w:proofErr w:type="spellEnd"/>
      <w:r w:rsidRPr="0057766F">
        <w:rPr>
          <w:rFonts w:eastAsia="Times New Roman"/>
        </w:rPr>
        <w:t xml:space="preserve"> </w:t>
      </w:r>
      <w:proofErr w:type="spellStart"/>
      <w:r w:rsidRPr="0057766F">
        <w:rPr>
          <w:rFonts w:eastAsia="Times New Roman"/>
        </w:rPr>
        <w:t>Haftung</w:t>
      </w:r>
      <w:proofErr w:type="spellEnd"/>
      <w:r>
        <w:rPr>
          <w:rFonts w:eastAsia="Times New Roman"/>
        </w:rPr>
        <w:t xml:space="preserve"> (</w:t>
      </w:r>
      <w:r w:rsidRPr="00B125F2">
        <w:rPr>
          <w:rFonts w:eastAsia="Times New Roman"/>
        </w:rPr>
        <w:t>Spółka z o.o. prawa niemieckiego</w:t>
      </w:r>
      <w:r>
        <w:rPr>
          <w:rFonts w:eastAsia="Times New Roman"/>
        </w:rPr>
        <w:t>)</w:t>
      </w:r>
      <w:r w:rsidRPr="00B125F2">
        <w:rPr>
          <w:rFonts w:eastAsia="Times New Roman"/>
        </w:rPr>
        <w:t>,</w:t>
      </w:r>
      <w:r>
        <w:rPr>
          <w:rFonts w:eastAsia="Times New Roman"/>
        </w:rPr>
        <w:t xml:space="preserve"> </w:t>
      </w:r>
      <w:r w:rsidRPr="00B125F2">
        <w:rPr>
          <w:rFonts w:eastAsia="Times New Roman"/>
        </w:rPr>
        <w:t>działając</w:t>
      </w:r>
      <w:r>
        <w:rPr>
          <w:rFonts w:eastAsia="Times New Roman"/>
        </w:rPr>
        <w:t>y</w:t>
      </w:r>
      <w:r w:rsidRPr="00B125F2">
        <w:rPr>
          <w:rFonts w:eastAsia="Times New Roman"/>
        </w:rPr>
        <w:t xml:space="preserve"> przez Oddział w Polsce </w:t>
      </w:r>
      <w:r>
        <w:rPr>
          <w:rFonts w:eastAsia="Times New Roman"/>
        </w:rPr>
        <w:t xml:space="preserve">wnosił o wydanie nakazu zapłaty </w:t>
      </w:r>
      <w:r w:rsidRPr="00B125F2">
        <w:rPr>
          <w:rFonts w:eastAsia="Times New Roman"/>
        </w:rPr>
        <w:t xml:space="preserve">w postępowaniu </w:t>
      </w:r>
      <w:r>
        <w:rPr>
          <w:rFonts w:eastAsia="Times New Roman"/>
        </w:rPr>
        <w:t>nakazowym</w:t>
      </w:r>
      <w:r w:rsidRPr="00B125F2">
        <w:rPr>
          <w:rFonts w:eastAsia="Times New Roman"/>
        </w:rPr>
        <w:t xml:space="preserve">, </w:t>
      </w:r>
      <w:r>
        <w:rPr>
          <w:rFonts w:eastAsia="Times New Roman"/>
        </w:rPr>
        <w:t xml:space="preserve">na mocy którego </w:t>
      </w:r>
      <w:r w:rsidRPr="00B125F2">
        <w:rPr>
          <w:rFonts w:eastAsia="Times New Roman"/>
        </w:rPr>
        <w:t>pozwan</w:t>
      </w:r>
      <w:r>
        <w:rPr>
          <w:rFonts w:eastAsia="Times New Roman"/>
        </w:rPr>
        <w:t>a</w:t>
      </w:r>
      <w:r w:rsidRPr="00B125F2">
        <w:rPr>
          <w:rFonts w:eastAsia="Times New Roman"/>
        </w:rPr>
        <w:t xml:space="preserve"> </w:t>
      </w:r>
      <w:r>
        <w:rPr>
          <w:rFonts w:eastAsia="Times New Roman"/>
        </w:rPr>
        <w:t xml:space="preserve">Barbara Nowak </w:t>
      </w:r>
      <w:r w:rsidRPr="00B125F2">
        <w:rPr>
          <w:rFonts w:eastAsia="Times New Roman"/>
        </w:rPr>
        <w:t xml:space="preserve">w ciągu 14 dni od doręczenia nakazu </w:t>
      </w:r>
      <w:r>
        <w:rPr>
          <w:rFonts w:eastAsia="Times New Roman"/>
        </w:rPr>
        <w:t xml:space="preserve">zapłaci mu kwotę 1 943 357,52 </w:t>
      </w:r>
      <w:r w:rsidRPr="00B125F2">
        <w:rPr>
          <w:rFonts w:eastAsia="Times New Roman"/>
        </w:rPr>
        <w:t xml:space="preserve">zł wraz z odsetkami ustawowymi od tej kwoty liczonymi od dnia </w:t>
      </w:r>
      <w:r>
        <w:rPr>
          <w:rFonts w:eastAsia="Times New Roman"/>
        </w:rPr>
        <w:t>wniesienia pozwu do dnia zapłaty oraz</w:t>
      </w:r>
      <w:r w:rsidRPr="00B125F2">
        <w:rPr>
          <w:rFonts w:eastAsia="Times New Roman"/>
        </w:rPr>
        <w:t xml:space="preserve"> </w:t>
      </w:r>
      <w:r>
        <w:rPr>
          <w:rFonts w:eastAsia="Times New Roman"/>
        </w:rPr>
        <w:t xml:space="preserve">zwróci </w:t>
      </w:r>
      <w:r w:rsidRPr="00B125F2">
        <w:rPr>
          <w:rFonts w:eastAsia="Times New Roman"/>
        </w:rPr>
        <w:t>koszty postępowania, w tym wynagrodzenia radcy prawnego wraz opłat</w:t>
      </w:r>
      <w:r>
        <w:rPr>
          <w:rFonts w:eastAsia="Times New Roman"/>
        </w:rPr>
        <w:t>ą</w:t>
      </w:r>
      <w:r w:rsidRPr="00B125F2">
        <w:rPr>
          <w:rFonts w:eastAsia="Times New Roman"/>
        </w:rPr>
        <w:t xml:space="preserve"> skarbow</w:t>
      </w:r>
      <w:r>
        <w:rPr>
          <w:rFonts w:eastAsia="Times New Roman"/>
        </w:rPr>
        <w:t>ą</w:t>
      </w:r>
      <w:r w:rsidRPr="00B125F2">
        <w:rPr>
          <w:rFonts w:eastAsia="Times New Roman"/>
        </w:rPr>
        <w:t xml:space="preserve"> od pełnomocnictw</w:t>
      </w:r>
      <w:r>
        <w:rPr>
          <w:rFonts w:eastAsia="Times New Roman"/>
        </w:rPr>
        <w:t>a</w:t>
      </w:r>
      <w:r w:rsidRPr="00B125F2">
        <w:rPr>
          <w:rFonts w:eastAsia="Times New Roman"/>
        </w:rPr>
        <w:t>.</w:t>
      </w:r>
    </w:p>
    <w:p w:rsidR="00E02F38" w:rsidRPr="00B125F2" w:rsidRDefault="00E02F38" w:rsidP="00E02F38">
      <w:pPr>
        <w:ind w:firstLine="426"/>
        <w:jc w:val="both"/>
        <w:rPr>
          <w:rFonts w:eastAsia="Times New Roman"/>
        </w:rPr>
      </w:pPr>
      <w:r w:rsidRPr="00B125F2">
        <w:rPr>
          <w:rFonts w:eastAsia="Times New Roman"/>
        </w:rPr>
        <w:t xml:space="preserve">W uzasadnieniu powód podał, że </w:t>
      </w:r>
      <w:r>
        <w:rPr>
          <w:rFonts w:eastAsia="Times New Roman"/>
        </w:rPr>
        <w:t>od 2012 r. współpracował z „Nowak-Moda” Spółką z o.o. w Warszawie, jednak w związku z zaległościami płatniczymi tej spółki zbył wymagalne wierzytelności na rzecz HB Bank GmbH oraz zawarł z tym bankiem umowę o współpracy. Dalsze rozrachunki z polską spółką i jej dostawcami prowadził Bank</w:t>
      </w:r>
      <w:r w:rsidRPr="00B125F2">
        <w:rPr>
          <w:rFonts w:eastAsia="Times New Roman"/>
        </w:rPr>
        <w:t>.</w:t>
      </w:r>
      <w:r>
        <w:rPr>
          <w:rFonts w:eastAsia="Times New Roman"/>
        </w:rPr>
        <w:t xml:space="preserve"> Pozwana, jako żona Prezesa Zarządu Spółki „Nowak-Moda” – dłużniczki głównej, udzieliła poręczenia solidarnego za jej długi. Bank ostatecznie wypowiedział porozumienie z dłużniczką główną, która potwierdziła saldo zobowiązań. Powódka dochodzi zapłaty w imieniu Banku</w:t>
      </w:r>
      <w:r w:rsidRPr="00B125F2">
        <w:rPr>
          <w:rFonts w:eastAsia="Times New Roman"/>
        </w:rPr>
        <w:t>.</w:t>
      </w:r>
      <w:r>
        <w:rPr>
          <w:rFonts w:eastAsia="Times New Roman"/>
        </w:rPr>
        <w:t xml:space="preserve"> Poręczycielka nie spłaciła długu mimo wezwania.</w:t>
      </w:r>
    </w:p>
    <w:p w:rsidR="00E02F38" w:rsidRPr="00B125F2" w:rsidRDefault="00E02F38" w:rsidP="00E02F38">
      <w:pPr>
        <w:ind w:firstLine="426"/>
        <w:jc w:val="both"/>
        <w:rPr>
          <w:rFonts w:eastAsia="Times New Roman"/>
        </w:rPr>
      </w:pPr>
      <w:r w:rsidRPr="00B125F2">
        <w:rPr>
          <w:rFonts w:eastAsia="Times New Roman"/>
        </w:rPr>
        <w:t xml:space="preserve">Nakazem zapłaty w postępowaniu </w:t>
      </w:r>
      <w:r>
        <w:rPr>
          <w:rFonts w:eastAsia="Times New Roman"/>
        </w:rPr>
        <w:t xml:space="preserve">nakazowym </w:t>
      </w:r>
      <w:r w:rsidRPr="00B125F2">
        <w:rPr>
          <w:rFonts w:eastAsia="Times New Roman"/>
        </w:rPr>
        <w:t xml:space="preserve">z dnia </w:t>
      </w:r>
      <w:r>
        <w:rPr>
          <w:rFonts w:eastAsia="Times New Roman"/>
        </w:rPr>
        <w:t xml:space="preserve">15 listopada 2018 </w:t>
      </w:r>
      <w:r w:rsidRPr="00B125F2">
        <w:rPr>
          <w:rFonts w:eastAsia="Times New Roman"/>
        </w:rPr>
        <w:t xml:space="preserve">r., sygn. akt </w:t>
      </w:r>
      <w:r>
        <w:rPr>
          <w:rFonts w:eastAsia="Times New Roman"/>
        </w:rPr>
        <w:t xml:space="preserve">XXV </w:t>
      </w:r>
      <w:proofErr w:type="spellStart"/>
      <w:r w:rsidRPr="00B125F2">
        <w:rPr>
          <w:rFonts w:eastAsia="Times New Roman"/>
        </w:rPr>
        <w:t>Nc</w:t>
      </w:r>
      <w:proofErr w:type="spellEnd"/>
      <w:r w:rsidRPr="00B125F2">
        <w:rPr>
          <w:rFonts w:eastAsia="Times New Roman"/>
        </w:rPr>
        <w:t xml:space="preserve"> </w:t>
      </w:r>
      <w:r>
        <w:rPr>
          <w:rFonts w:eastAsia="Times New Roman"/>
        </w:rPr>
        <w:t>508</w:t>
      </w:r>
      <w:r w:rsidRPr="00B125F2">
        <w:rPr>
          <w:rFonts w:eastAsia="Times New Roman"/>
        </w:rPr>
        <w:t>/</w:t>
      </w:r>
      <w:r>
        <w:rPr>
          <w:rFonts w:eastAsia="Times New Roman"/>
        </w:rPr>
        <w:t>18</w:t>
      </w:r>
      <w:r w:rsidRPr="00B125F2">
        <w:rPr>
          <w:rFonts w:eastAsia="Times New Roman"/>
        </w:rPr>
        <w:t xml:space="preserve"> (k.</w:t>
      </w:r>
      <w:r>
        <w:rPr>
          <w:rFonts w:eastAsia="Times New Roman"/>
        </w:rPr>
        <w:t> 1</w:t>
      </w:r>
      <w:r w:rsidRPr="00B125F2">
        <w:rPr>
          <w:rFonts w:eastAsia="Times New Roman"/>
        </w:rPr>
        <w:t>7) Sąd nakazał</w:t>
      </w:r>
      <w:r>
        <w:rPr>
          <w:rFonts w:eastAsia="Times New Roman"/>
        </w:rPr>
        <w:t xml:space="preserve"> pozwanej</w:t>
      </w:r>
      <w:r w:rsidRPr="00B125F2">
        <w:rPr>
          <w:rFonts w:eastAsia="Times New Roman"/>
        </w:rPr>
        <w:t>, aby zapłacił</w:t>
      </w:r>
      <w:r>
        <w:rPr>
          <w:rFonts w:eastAsia="Times New Roman"/>
        </w:rPr>
        <w:t>a</w:t>
      </w:r>
      <w:r w:rsidRPr="00B125F2">
        <w:rPr>
          <w:rFonts w:eastAsia="Times New Roman"/>
        </w:rPr>
        <w:t xml:space="preserve"> powodowi kwotę </w:t>
      </w:r>
      <w:r>
        <w:rPr>
          <w:rFonts w:eastAsia="Times New Roman"/>
        </w:rPr>
        <w:t xml:space="preserve">dochodzoną pozwem </w:t>
      </w:r>
      <w:r w:rsidRPr="00B125F2">
        <w:rPr>
          <w:rFonts w:eastAsia="Times New Roman"/>
        </w:rPr>
        <w:t xml:space="preserve">wraz z odsetkami ustawowymi za okres od </w:t>
      </w:r>
      <w:r>
        <w:rPr>
          <w:rFonts w:eastAsia="Times New Roman"/>
        </w:rPr>
        <w:t>5 listopada 2018</w:t>
      </w:r>
      <w:r w:rsidRPr="00B125F2">
        <w:rPr>
          <w:rFonts w:eastAsia="Times New Roman"/>
        </w:rPr>
        <w:t xml:space="preserve"> r. do dnia zapłaty oraz kwotę </w:t>
      </w:r>
      <w:r>
        <w:rPr>
          <w:rFonts w:eastAsia="Times New Roman"/>
        </w:rPr>
        <w:t xml:space="preserve">31 509 zł </w:t>
      </w:r>
      <w:r w:rsidRPr="00B125F2">
        <w:rPr>
          <w:rFonts w:eastAsia="Times New Roman"/>
        </w:rPr>
        <w:t>tytułem kosztów procesu, w</w:t>
      </w:r>
      <w:r>
        <w:rPr>
          <w:rFonts w:eastAsia="Times New Roman"/>
        </w:rPr>
        <w:t> </w:t>
      </w:r>
      <w:r w:rsidRPr="00B125F2">
        <w:rPr>
          <w:rFonts w:eastAsia="Times New Roman"/>
        </w:rPr>
        <w:t xml:space="preserve">tym kwotę </w:t>
      </w:r>
      <w:r>
        <w:rPr>
          <w:rFonts w:eastAsia="Times New Roman"/>
        </w:rPr>
        <w:t xml:space="preserve">7215 </w:t>
      </w:r>
      <w:r w:rsidRPr="00B125F2">
        <w:rPr>
          <w:rFonts w:eastAsia="Times New Roman"/>
        </w:rPr>
        <w:t xml:space="preserve">zł tytułem kosztów zastępstwa procesowego w terminie 14 dni od doręczenia nakazu albo aby w tym samym terminie </w:t>
      </w:r>
      <w:r>
        <w:rPr>
          <w:rFonts w:eastAsia="Times New Roman"/>
        </w:rPr>
        <w:t>wniosła zarzuty</w:t>
      </w:r>
      <w:r w:rsidRPr="00B125F2">
        <w:rPr>
          <w:rFonts w:eastAsia="Times New Roman"/>
        </w:rPr>
        <w:t>.</w:t>
      </w:r>
    </w:p>
    <w:p w:rsidR="00E02F38" w:rsidRPr="00B125F2" w:rsidRDefault="00E02F38" w:rsidP="00E02F38">
      <w:pPr>
        <w:ind w:firstLine="426"/>
        <w:jc w:val="both"/>
        <w:rPr>
          <w:rFonts w:eastAsia="Times New Roman"/>
        </w:rPr>
      </w:pPr>
      <w:r w:rsidRPr="00B125F2">
        <w:rPr>
          <w:rFonts w:eastAsia="Times New Roman"/>
        </w:rPr>
        <w:t xml:space="preserve">W </w:t>
      </w:r>
      <w:r>
        <w:rPr>
          <w:rFonts w:eastAsia="Times New Roman"/>
        </w:rPr>
        <w:t xml:space="preserve">zarzutach </w:t>
      </w:r>
      <w:r w:rsidRPr="00B125F2">
        <w:rPr>
          <w:rFonts w:eastAsia="Times New Roman"/>
        </w:rPr>
        <w:t xml:space="preserve">od nakazu zapłaty z dnia </w:t>
      </w:r>
      <w:r>
        <w:rPr>
          <w:rFonts w:eastAsia="Times New Roman"/>
        </w:rPr>
        <w:t xml:space="preserve">15 grudnia </w:t>
      </w:r>
      <w:r w:rsidRPr="00B125F2">
        <w:rPr>
          <w:rFonts w:eastAsia="Times New Roman"/>
        </w:rPr>
        <w:t>20</w:t>
      </w:r>
      <w:r>
        <w:rPr>
          <w:rFonts w:eastAsia="Times New Roman"/>
        </w:rPr>
        <w:t>18</w:t>
      </w:r>
      <w:r w:rsidRPr="00B125F2">
        <w:rPr>
          <w:rFonts w:eastAsia="Times New Roman"/>
        </w:rPr>
        <w:t xml:space="preserve"> r. (k. </w:t>
      </w:r>
      <w:r>
        <w:rPr>
          <w:rFonts w:eastAsia="Times New Roman"/>
        </w:rPr>
        <w:t xml:space="preserve">19 </w:t>
      </w:r>
      <w:r w:rsidRPr="00B125F2">
        <w:rPr>
          <w:rFonts w:eastAsia="Times New Roman"/>
        </w:rPr>
        <w:t>i n.) pozwan</w:t>
      </w:r>
      <w:r>
        <w:rPr>
          <w:rFonts w:eastAsia="Times New Roman"/>
        </w:rPr>
        <w:t>a</w:t>
      </w:r>
      <w:r w:rsidRPr="00B125F2">
        <w:rPr>
          <w:rFonts w:eastAsia="Times New Roman"/>
        </w:rPr>
        <w:t xml:space="preserve"> żądał</w:t>
      </w:r>
      <w:r>
        <w:rPr>
          <w:rFonts w:eastAsia="Times New Roman"/>
        </w:rPr>
        <w:t>a</w:t>
      </w:r>
      <w:r w:rsidRPr="00B125F2">
        <w:rPr>
          <w:rFonts w:eastAsia="Times New Roman"/>
        </w:rPr>
        <w:t xml:space="preserve"> </w:t>
      </w:r>
      <w:r>
        <w:rPr>
          <w:rFonts w:eastAsia="Times New Roman"/>
        </w:rPr>
        <w:t xml:space="preserve">uchylenia nakazu zapłaty wydanego w postępowaniu nakazowym w całości oraz </w:t>
      </w:r>
      <w:r w:rsidRPr="00B125F2">
        <w:rPr>
          <w:rFonts w:eastAsia="Times New Roman"/>
        </w:rPr>
        <w:t>oddalenia powództwa w całości.</w:t>
      </w:r>
    </w:p>
    <w:p w:rsidR="00E02F38" w:rsidRPr="00B125F2" w:rsidRDefault="00E02F38" w:rsidP="00E02F38">
      <w:pPr>
        <w:ind w:firstLine="426"/>
        <w:jc w:val="both"/>
        <w:rPr>
          <w:rFonts w:eastAsia="Times New Roman"/>
        </w:rPr>
      </w:pPr>
      <w:r w:rsidRPr="00B125F2">
        <w:rPr>
          <w:rFonts w:eastAsia="Times New Roman"/>
        </w:rPr>
        <w:t>W uzasadnieniu pozwan</w:t>
      </w:r>
      <w:r>
        <w:rPr>
          <w:rFonts w:eastAsia="Times New Roman"/>
        </w:rPr>
        <w:t>a</w:t>
      </w:r>
      <w:r w:rsidRPr="00B125F2">
        <w:rPr>
          <w:rFonts w:eastAsia="Times New Roman"/>
        </w:rPr>
        <w:t xml:space="preserve"> </w:t>
      </w:r>
      <w:r>
        <w:rPr>
          <w:rFonts w:eastAsia="Times New Roman"/>
        </w:rPr>
        <w:t>podniosła</w:t>
      </w:r>
      <w:r w:rsidRPr="00B125F2">
        <w:rPr>
          <w:rFonts w:eastAsia="Times New Roman"/>
        </w:rPr>
        <w:t xml:space="preserve">, że </w:t>
      </w:r>
      <w:r>
        <w:rPr>
          <w:rFonts w:eastAsia="Times New Roman"/>
        </w:rPr>
        <w:t>kwestionuje ważność poręczenia, ponieważ uchyliła się od jego skutków z uwagi na zastosowany wobec niej podstęp i przymus; ponadto twierdziła, że poręczenie jest bezwzględnie nieważne, bo nie wiadomo, za jakie długi ma ona odpowiadać</w:t>
      </w:r>
      <w:r w:rsidRPr="00B125F2">
        <w:rPr>
          <w:rFonts w:eastAsia="Times New Roman"/>
        </w:rPr>
        <w:t>.</w:t>
      </w:r>
      <w:r>
        <w:rPr>
          <w:rFonts w:eastAsia="Times New Roman"/>
        </w:rPr>
        <w:t xml:space="preserve"> Nie zna ona spraw spółki męża. Nie posiada również majątku i dochodów pozwalających spłacić zobowiązanie, uzyskując jedynie dochody z pracy na stanowisku nauczycielki oraz posiadając 8-letni samochód osobowy.</w:t>
      </w:r>
    </w:p>
    <w:p w:rsidR="00E02F38" w:rsidRPr="00B125F2" w:rsidRDefault="00E02F38" w:rsidP="00E02F38">
      <w:pPr>
        <w:ind w:firstLine="426"/>
        <w:jc w:val="both"/>
        <w:rPr>
          <w:rFonts w:eastAsia="Times New Roman"/>
        </w:rPr>
      </w:pPr>
      <w:r>
        <w:rPr>
          <w:rFonts w:eastAsia="Times New Roman"/>
        </w:rPr>
        <w:t>Na rozprawie w dniu 11 czerwca 2019 r. strony podtrzymały dotychczasowe stanowiska w sprawie</w:t>
      </w:r>
      <w:r w:rsidRPr="00B125F2">
        <w:rPr>
          <w:rFonts w:eastAsia="Times New Roman"/>
        </w:rPr>
        <w:t>.</w:t>
      </w:r>
    </w:p>
    <w:p w:rsidR="00E02F38" w:rsidRPr="00B125F2" w:rsidRDefault="00E02F38" w:rsidP="00E02F38">
      <w:pPr>
        <w:ind w:firstLine="426"/>
        <w:jc w:val="both"/>
        <w:rPr>
          <w:rFonts w:eastAsia="Times New Roman"/>
        </w:rPr>
      </w:pPr>
    </w:p>
    <w:p w:rsidR="00E02F38" w:rsidRPr="00B125F2" w:rsidRDefault="00E02F38" w:rsidP="00E02F38">
      <w:pPr>
        <w:ind w:firstLine="426"/>
        <w:jc w:val="both"/>
        <w:rPr>
          <w:rFonts w:eastAsia="Times New Roman"/>
        </w:rPr>
      </w:pPr>
      <w:r w:rsidRPr="00B125F2">
        <w:rPr>
          <w:rFonts w:eastAsia="Times New Roman"/>
          <w:b/>
          <w:bCs/>
        </w:rPr>
        <w:t xml:space="preserve">Sąd </w:t>
      </w:r>
      <w:r>
        <w:rPr>
          <w:rFonts w:eastAsia="Times New Roman"/>
          <w:b/>
          <w:bCs/>
        </w:rPr>
        <w:t xml:space="preserve">Okręgowy </w:t>
      </w:r>
      <w:r w:rsidRPr="00B125F2">
        <w:rPr>
          <w:rFonts w:eastAsia="Times New Roman"/>
          <w:b/>
          <w:bCs/>
        </w:rPr>
        <w:t>ustalił, co następuje:</w:t>
      </w:r>
    </w:p>
    <w:p w:rsidR="00E02F38" w:rsidRPr="00B125F2" w:rsidRDefault="00E02F38" w:rsidP="00E02F38">
      <w:pPr>
        <w:ind w:firstLine="426"/>
        <w:jc w:val="both"/>
        <w:rPr>
          <w:rFonts w:eastAsia="Times New Roman"/>
        </w:rPr>
      </w:pPr>
      <w:r>
        <w:rPr>
          <w:rFonts w:eastAsia="Times New Roman"/>
        </w:rPr>
        <w:t xml:space="preserve">Powód </w:t>
      </w:r>
      <w:proofErr w:type="spellStart"/>
      <w:r w:rsidRPr="00B125F2">
        <w:rPr>
          <w:rFonts w:eastAsia="Times New Roman"/>
        </w:rPr>
        <w:t>Männermode-Großhandelsgesellschaft</w:t>
      </w:r>
      <w:proofErr w:type="spellEnd"/>
      <w:r>
        <w:rPr>
          <w:rFonts w:eastAsia="Times New Roman"/>
        </w:rPr>
        <w:t xml:space="preserve"> </w:t>
      </w:r>
      <w:r w:rsidRPr="00B125F2">
        <w:rPr>
          <w:rFonts w:eastAsia="Times New Roman"/>
        </w:rPr>
        <w:t xml:space="preserve">mit </w:t>
      </w:r>
      <w:proofErr w:type="spellStart"/>
      <w:r w:rsidRPr="00B125F2">
        <w:rPr>
          <w:rFonts w:eastAsia="Times New Roman"/>
        </w:rPr>
        <w:t>beschränkter</w:t>
      </w:r>
      <w:proofErr w:type="spellEnd"/>
      <w:r w:rsidRPr="00B125F2">
        <w:rPr>
          <w:rFonts w:eastAsia="Times New Roman"/>
        </w:rPr>
        <w:t xml:space="preserve"> </w:t>
      </w:r>
      <w:proofErr w:type="spellStart"/>
      <w:r w:rsidRPr="00B125F2">
        <w:rPr>
          <w:rFonts w:eastAsia="Times New Roman"/>
        </w:rPr>
        <w:t>Haftung</w:t>
      </w:r>
      <w:proofErr w:type="spellEnd"/>
      <w:r>
        <w:rPr>
          <w:rFonts w:eastAsia="Times New Roman"/>
        </w:rPr>
        <w:t xml:space="preserve"> z siedzibą w </w:t>
      </w:r>
      <w:proofErr w:type="spellStart"/>
      <w:r>
        <w:rPr>
          <w:rFonts w:eastAsia="Times New Roman"/>
        </w:rPr>
        <w:t>Offenheim</w:t>
      </w:r>
      <w:proofErr w:type="spellEnd"/>
      <w:r>
        <w:rPr>
          <w:rFonts w:eastAsia="Times New Roman"/>
        </w:rPr>
        <w:t xml:space="preserve"> (RFN) i „Nowak-Moda” Spółka z ograniczoną odpowiedzialnością w Warszawie – wobec której wszczęto postępowanie o ogłoszenie upadłości połączonej z likwidacją majątku – pozostają w stałych stosunkach handlowych od roku 2012</w:t>
      </w:r>
      <w:r w:rsidRPr="00B125F2">
        <w:rPr>
          <w:rFonts w:eastAsia="Times New Roman"/>
        </w:rPr>
        <w:t>.</w:t>
      </w:r>
    </w:p>
    <w:p w:rsidR="00E02F38" w:rsidRPr="00B125F2" w:rsidRDefault="00E02F38" w:rsidP="00E02F38">
      <w:pPr>
        <w:ind w:firstLine="426"/>
        <w:jc w:val="both"/>
        <w:rPr>
          <w:rFonts w:eastAsia="Times New Roman"/>
          <w:i/>
          <w:iCs/>
        </w:rPr>
      </w:pPr>
      <w:r w:rsidRPr="00B125F2">
        <w:rPr>
          <w:rFonts w:eastAsia="Times New Roman"/>
          <w:i/>
          <w:iCs/>
          <w:u w:val="single"/>
        </w:rPr>
        <w:t>Okolicznoś</w:t>
      </w:r>
      <w:r>
        <w:rPr>
          <w:rFonts w:eastAsia="Times New Roman"/>
          <w:i/>
          <w:iCs/>
          <w:u w:val="single"/>
        </w:rPr>
        <w:t>ci</w:t>
      </w:r>
      <w:r w:rsidRPr="00B125F2">
        <w:rPr>
          <w:rFonts w:eastAsia="Times New Roman"/>
          <w:i/>
          <w:iCs/>
          <w:u w:val="single"/>
        </w:rPr>
        <w:t xml:space="preserve"> </w:t>
      </w:r>
      <w:r>
        <w:rPr>
          <w:rFonts w:eastAsia="Times New Roman"/>
          <w:i/>
          <w:iCs/>
          <w:u w:val="single"/>
        </w:rPr>
        <w:t>nie</w:t>
      </w:r>
      <w:r w:rsidRPr="00B125F2">
        <w:rPr>
          <w:rFonts w:eastAsia="Times New Roman"/>
          <w:i/>
          <w:iCs/>
          <w:u w:val="single"/>
        </w:rPr>
        <w:t>sporn</w:t>
      </w:r>
      <w:r>
        <w:rPr>
          <w:rFonts w:eastAsia="Times New Roman"/>
          <w:i/>
          <w:iCs/>
          <w:u w:val="single"/>
        </w:rPr>
        <w:t>e</w:t>
      </w:r>
      <w:r w:rsidRPr="00B125F2">
        <w:rPr>
          <w:rFonts w:eastAsia="Times New Roman"/>
          <w:i/>
          <w:iCs/>
        </w:rPr>
        <w:t xml:space="preserve"> – </w:t>
      </w:r>
      <w:r>
        <w:rPr>
          <w:rFonts w:eastAsia="Times New Roman"/>
          <w:i/>
          <w:iCs/>
        </w:rPr>
        <w:t>twierdzenia powoda, niezaprzeczone przez pozwaną; zeznania świadka J. Nowaka (k. 24-25)</w:t>
      </w:r>
      <w:r w:rsidRPr="00B125F2">
        <w:rPr>
          <w:rFonts w:eastAsia="Times New Roman"/>
          <w:i/>
          <w:iCs/>
        </w:rPr>
        <w:t>.</w:t>
      </w:r>
    </w:p>
    <w:p w:rsidR="00E02F38" w:rsidRDefault="00E02F38" w:rsidP="00E02F38">
      <w:pPr>
        <w:ind w:firstLine="426"/>
        <w:jc w:val="both"/>
        <w:rPr>
          <w:rFonts w:eastAsia="Times New Roman"/>
        </w:rPr>
      </w:pPr>
      <w:r>
        <w:rPr>
          <w:rFonts w:eastAsia="Times New Roman"/>
        </w:rPr>
        <w:t>W ramach tej współpracy powód zapewniał spółce polskiej zaopatrzenie w towary (odzież i obuwie) oraz regulował płatności do dostawców. „Nowak-Moda” rozliczała się z powodem okresowo saldem</w:t>
      </w:r>
      <w:r w:rsidRPr="00B125F2">
        <w:rPr>
          <w:rFonts w:eastAsia="Times New Roman"/>
        </w:rPr>
        <w:t>.</w:t>
      </w:r>
    </w:p>
    <w:p w:rsidR="00E02F38" w:rsidRPr="00B125F2" w:rsidRDefault="00E02F38" w:rsidP="00E02F38">
      <w:pPr>
        <w:ind w:firstLine="426"/>
        <w:jc w:val="both"/>
        <w:rPr>
          <w:rFonts w:eastAsia="Times New Roman"/>
        </w:rPr>
      </w:pPr>
      <w:r w:rsidRPr="00B125F2">
        <w:rPr>
          <w:rFonts w:eastAsia="Times New Roman"/>
          <w:i/>
          <w:iCs/>
          <w:u w:val="single"/>
        </w:rPr>
        <w:t xml:space="preserve">Okoliczność </w:t>
      </w:r>
      <w:r>
        <w:rPr>
          <w:rFonts w:eastAsia="Times New Roman"/>
          <w:i/>
          <w:iCs/>
          <w:u w:val="single"/>
        </w:rPr>
        <w:t>nie</w:t>
      </w:r>
      <w:r w:rsidRPr="00B125F2">
        <w:rPr>
          <w:rFonts w:eastAsia="Times New Roman"/>
          <w:i/>
          <w:iCs/>
          <w:u w:val="single"/>
        </w:rPr>
        <w:t>sporna</w:t>
      </w:r>
      <w:r w:rsidRPr="00B125F2">
        <w:rPr>
          <w:rFonts w:eastAsia="Times New Roman"/>
          <w:i/>
          <w:iCs/>
        </w:rPr>
        <w:t xml:space="preserve"> –</w:t>
      </w:r>
      <w:r>
        <w:rPr>
          <w:rFonts w:eastAsia="Times New Roman"/>
          <w:i/>
          <w:iCs/>
        </w:rPr>
        <w:t xml:space="preserve"> zeznania świadka J. Nowaka (k. 24-25)</w:t>
      </w:r>
      <w:r w:rsidRPr="00B125F2">
        <w:rPr>
          <w:rFonts w:eastAsia="Times New Roman"/>
          <w:i/>
          <w:iCs/>
        </w:rPr>
        <w:t>.</w:t>
      </w:r>
    </w:p>
    <w:p w:rsidR="00E02F38" w:rsidRPr="00B125F2" w:rsidRDefault="00E02F38" w:rsidP="00E02F38">
      <w:pPr>
        <w:ind w:firstLine="426"/>
        <w:jc w:val="both"/>
        <w:rPr>
          <w:rFonts w:eastAsia="Times New Roman"/>
        </w:rPr>
      </w:pPr>
      <w:r>
        <w:rPr>
          <w:rFonts w:eastAsia="Times New Roman"/>
        </w:rPr>
        <w:t>Z uwagi na narastające zadłużenie polskiego partnera, powód w 2017 r. zagroził zerwaniem stosunków</w:t>
      </w:r>
      <w:r w:rsidRPr="00B125F2">
        <w:rPr>
          <w:rFonts w:eastAsia="Times New Roman"/>
        </w:rPr>
        <w:t>.</w:t>
      </w:r>
      <w:r>
        <w:rPr>
          <w:rFonts w:eastAsia="Times New Roman"/>
        </w:rPr>
        <w:t xml:space="preserve"> Na prośb</w:t>
      </w:r>
      <w:bookmarkStart w:id="0" w:name="_GoBack"/>
      <w:bookmarkEnd w:id="0"/>
      <w:r>
        <w:rPr>
          <w:rFonts w:eastAsia="Times New Roman"/>
        </w:rPr>
        <w:t>ę Prezesa Zarządu Spółki J. Nowaka dotychczasowy system zastąpiono rozliczeniami przez HB Bank GmbH w Berlinie, z którym powód współpracował. HB Bank otworzył Spółce konto rozrachunkowe i regulował należności dostawców jak dotychczas.</w:t>
      </w:r>
    </w:p>
    <w:p w:rsidR="00E02F38" w:rsidRPr="00B125F2" w:rsidRDefault="00E02F38" w:rsidP="00E02F38">
      <w:pPr>
        <w:ind w:firstLine="426"/>
        <w:jc w:val="both"/>
        <w:rPr>
          <w:rFonts w:eastAsia="Times New Roman"/>
        </w:rPr>
      </w:pPr>
      <w:r w:rsidRPr="00B125F2">
        <w:rPr>
          <w:rFonts w:eastAsia="Times New Roman"/>
          <w:i/>
          <w:iCs/>
          <w:u w:val="single"/>
        </w:rPr>
        <w:t xml:space="preserve">Okoliczność </w:t>
      </w:r>
      <w:r>
        <w:rPr>
          <w:rFonts w:eastAsia="Times New Roman"/>
          <w:i/>
          <w:iCs/>
          <w:u w:val="single"/>
        </w:rPr>
        <w:t>nie</w:t>
      </w:r>
      <w:r w:rsidRPr="00B125F2">
        <w:rPr>
          <w:rFonts w:eastAsia="Times New Roman"/>
          <w:i/>
          <w:iCs/>
          <w:u w:val="single"/>
        </w:rPr>
        <w:t>sporna</w:t>
      </w:r>
      <w:r w:rsidRPr="00B125F2">
        <w:rPr>
          <w:rFonts w:eastAsia="Times New Roman"/>
          <w:i/>
          <w:iCs/>
        </w:rPr>
        <w:t xml:space="preserve"> –</w:t>
      </w:r>
      <w:r>
        <w:rPr>
          <w:rFonts w:eastAsia="Times New Roman"/>
          <w:i/>
          <w:iCs/>
        </w:rPr>
        <w:t xml:space="preserve"> zeznania świadka J. Nowaka (k. 24-25); otrzymanie i akceptacja warunków handlowych (k. 6); ogólne i szczegółowe warunki handlowe banku (k. 7-8); umowa o współpracy (k. 12), tłum. przysięgłe (k. 13)</w:t>
      </w:r>
      <w:r w:rsidRPr="00B125F2">
        <w:rPr>
          <w:rFonts w:eastAsia="Times New Roman"/>
          <w:i/>
          <w:iCs/>
        </w:rPr>
        <w:t>.</w:t>
      </w:r>
    </w:p>
    <w:p w:rsidR="00E02F38" w:rsidRDefault="00E02F38" w:rsidP="00E02F38">
      <w:pPr>
        <w:ind w:firstLine="426"/>
        <w:jc w:val="both"/>
        <w:rPr>
          <w:rFonts w:eastAsia="Times New Roman"/>
        </w:rPr>
      </w:pPr>
      <w:r>
        <w:rPr>
          <w:rFonts w:eastAsia="Times New Roman"/>
        </w:rPr>
        <w:t xml:space="preserve">W związku z zagrożeniem sytuacji gospodarczej polskiej Spółki, HB Bank zażądał zgodnie z § 13 </w:t>
      </w:r>
      <w:proofErr w:type="spellStart"/>
      <w:r>
        <w:rPr>
          <w:rFonts w:eastAsia="Times New Roman"/>
        </w:rPr>
        <w:t>o.w.h</w:t>
      </w:r>
      <w:proofErr w:type="spellEnd"/>
      <w:r>
        <w:rPr>
          <w:rFonts w:eastAsia="Times New Roman"/>
        </w:rPr>
        <w:t>. udzielenia zabezpieczenia w postaci poręczenia długu, którego udzieliła pozwana, zrzekając się wszelkich zarzutów przysługujących dłużnikowi głównemu przeciwko wierzycielowi i zgadzając się odpowiadać jak dłużnik solidarny. Pozwana udzieliła poręczenia w dniu 23 października 2017 r. w domu w Regułach, gdzie zamieszkuje wraz z mężem. Pracownik polskiego oddziału powoda przyjechał tam i wręczył jej dokument do podpisania, nie udzieliwszy merytorycznych wyjaśnień odnośnie do celu i charakteru tej czynności.</w:t>
      </w:r>
    </w:p>
    <w:p w:rsidR="00E02F38" w:rsidRPr="00B125F2" w:rsidRDefault="00E02F38" w:rsidP="00E02F38">
      <w:pPr>
        <w:ind w:firstLine="426"/>
        <w:jc w:val="both"/>
        <w:rPr>
          <w:rFonts w:eastAsia="Times New Roman"/>
        </w:rPr>
      </w:pPr>
      <w:r w:rsidRPr="00B125F2">
        <w:rPr>
          <w:rFonts w:eastAsia="Times New Roman"/>
          <w:i/>
          <w:iCs/>
          <w:u w:val="single"/>
        </w:rPr>
        <w:t xml:space="preserve">Okoliczność </w:t>
      </w:r>
      <w:r>
        <w:rPr>
          <w:rFonts w:eastAsia="Times New Roman"/>
          <w:i/>
          <w:iCs/>
          <w:u w:val="single"/>
        </w:rPr>
        <w:t>nie</w:t>
      </w:r>
      <w:r w:rsidRPr="00B125F2">
        <w:rPr>
          <w:rFonts w:eastAsia="Times New Roman"/>
          <w:i/>
          <w:iCs/>
          <w:u w:val="single"/>
        </w:rPr>
        <w:t>sporna</w:t>
      </w:r>
      <w:r w:rsidRPr="00B125F2">
        <w:rPr>
          <w:rFonts w:eastAsia="Times New Roman"/>
          <w:i/>
          <w:iCs/>
        </w:rPr>
        <w:t xml:space="preserve"> –</w:t>
      </w:r>
      <w:r>
        <w:rPr>
          <w:rFonts w:eastAsia="Times New Roman"/>
          <w:i/>
          <w:iCs/>
        </w:rPr>
        <w:t xml:space="preserve"> zeznania świadka J. Nowaka (k. 24-25); zeznania pozwanej jako strony (k. 25-26); ogólne warunki handlowe banku (k. 7); oświadczenie poręczycielki (k. 9)</w:t>
      </w:r>
      <w:r w:rsidRPr="00B125F2">
        <w:rPr>
          <w:rFonts w:eastAsia="Times New Roman"/>
          <w:i/>
          <w:iCs/>
        </w:rPr>
        <w:t>.</w:t>
      </w:r>
    </w:p>
    <w:p w:rsidR="00E02F38" w:rsidRDefault="00E02F38" w:rsidP="00E02F38">
      <w:pPr>
        <w:ind w:firstLine="426"/>
        <w:jc w:val="both"/>
        <w:rPr>
          <w:rFonts w:eastAsia="Times New Roman"/>
        </w:rPr>
      </w:pPr>
      <w:r>
        <w:rPr>
          <w:rFonts w:eastAsia="Times New Roman"/>
        </w:rPr>
        <w:t>Dnia 30 kwietnia 2019 r. pozwana złożyła oświadczenie o uchyleniu się od skutków poręczenia.</w:t>
      </w:r>
    </w:p>
    <w:p w:rsidR="00E02F38" w:rsidRPr="00477E6A" w:rsidRDefault="00E02F38" w:rsidP="00E02F38">
      <w:pPr>
        <w:ind w:firstLine="426"/>
        <w:jc w:val="both"/>
        <w:rPr>
          <w:rFonts w:eastAsia="Times New Roman"/>
          <w:i/>
        </w:rPr>
      </w:pPr>
      <w:r w:rsidRPr="00477E6A">
        <w:rPr>
          <w:rFonts w:eastAsia="Times New Roman"/>
          <w:i/>
          <w:u w:val="single"/>
        </w:rPr>
        <w:lastRenderedPageBreak/>
        <w:t>Dowód:</w:t>
      </w:r>
      <w:r w:rsidRPr="00477E6A">
        <w:rPr>
          <w:rFonts w:eastAsia="Times New Roman"/>
          <w:i/>
        </w:rPr>
        <w:t xml:space="preserve"> pismo pozwanej wraz z dowodem nadania listem poleconym na adres HB Bank (k. 21).</w:t>
      </w:r>
    </w:p>
    <w:p w:rsidR="00E02F38" w:rsidRPr="00B125F2" w:rsidRDefault="00E02F38" w:rsidP="00E02F38">
      <w:pPr>
        <w:ind w:firstLine="426"/>
        <w:jc w:val="both"/>
        <w:rPr>
          <w:rFonts w:eastAsia="Times New Roman"/>
        </w:rPr>
      </w:pPr>
      <w:r>
        <w:rPr>
          <w:rFonts w:eastAsia="Times New Roman"/>
        </w:rPr>
        <w:t xml:space="preserve">Dnia 2 maja 2018 r. HB Bank wypowiedział, tzn. zakończył, </w:t>
      </w:r>
      <w:r w:rsidRPr="00477E6A">
        <w:rPr>
          <w:rFonts w:eastAsia="Times New Roman"/>
          <w:i/>
        </w:rPr>
        <w:t xml:space="preserve">del </w:t>
      </w:r>
      <w:proofErr w:type="spellStart"/>
      <w:r w:rsidRPr="00477E6A">
        <w:rPr>
          <w:rFonts w:eastAsia="Times New Roman"/>
          <w:i/>
        </w:rPr>
        <w:t>credere</w:t>
      </w:r>
      <w:proofErr w:type="spellEnd"/>
      <w:r>
        <w:rPr>
          <w:rFonts w:eastAsia="Times New Roman"/>
        </w:rPr>
        <w:t xml:space="preserve"> oraz centralną regulację dla „Nowak-Moda” oraz zamknął konto rozrachunkowe. Saldo wymagalnych zobowiązań wynosiło 3 224 211,12 zł. Dłużnik główny uznał dług i potwierdził saldo.</w:t>
      </w:r>
    </w:p>
    <w:p w:rsidR="00E02F38" w:rsidRPr="00085984" w:rsidRDefault="00E02F38" w:rsidP="00E02F38">
      <w:pPr>
        <w:ind w:firstLine="426"/>
        <w:jc w:val="both"/>
        <w:rPr>
          <w:rFonts w:eastAsia="Times New Roman"/>
          <w:i/>
        </w:rPr>
      </w:pPr>
      <w:r w:rsidRPr="00085984">
        <w:rPr>
          <w:rFonts w:eastAsia="Times New Roman"/>
          <w:i/>
          <w:u w:val="single"/>
        </w:rPr>
        <w:t>Dowód</w:t>
      </w:r>
      <w:r w:rsidRPr="00085984">
        <w:rPr>
          <w:rFonts w:eastAsia="Times New Roman"/>
          <w:i/>
        </w:rPr>
        <w:t>: oświadczenie banku, oświadczenie „Nowak-Moda” (k. 10)</w:t>
      </w:r>
      <w:r>
        <w:rPr>
          <w:rFonts w:eastAsia="Times New Roman"/>
          <w:i/>
        </w:rPr>
        <w:t>; tłumaczenie przysięgłe (k. 11)</w:t>
      </w:r>
      <w:r w:rsidRPr="00085984">
        <w:rPr>
          <w:rFonts w:eastAsia="Times New Roman"/>
          <w:i/>
        </w:rPr>
        <w:t>.</w:t>
      </w:r>
    </w:p>
    <w:p w:rsidR="00E02F38" w:rsidRPr="00085984" w:rsidRDefault="00E02F38" w:rsidP="00E02F38">
      <w:pPr>
        <w:ind w:firstLine="426"/>
        <w:jc w:val="both"/>
        <w:rPr>
          <w:rFonts w:eastAsia="Times New Roman"/>
        </w:rPr>
      </w:pPr>
      <w:r w:rsidRPr="00085984">
        <w:rPr>
          <w:rFonts w:eastAsia="Times New Roman"/>
        </w:rPr>
        <w:t xml:space="preserve">HB Bank oraz powodowa spółka </w:t>
      </w:r>
      <w:proofErr w:type="spellStart"/>
      <w:r w:rsidRPr="00085984">
        <w:rPr>
          <w:rFonts w:eastAsia="Times New Roman"/>
        </w:rPr>
        <w:t>Männermode-Großhandelsgesellschaft</w:t>
      </w:r>
      <w:proofErr w:type="spellEnd"/>
      <w:r w:rsidRPr="00085984">
        <w:rPr>
          <w:rFonts w:eastAsia="Times New Roman"/>
        </w:rPr>
        <w:t xml:space="preserve"> mit </w:t>
      </w:r>
      <w:proofErr w:type="spellStart"/>
      <w:r w:rsidRPr="00085984">
        <w:rPr>
          <w:rFonts w:eastAsia="Times New Roman"/>
        </w:rPr>
        <w:t>beschränkter</w:t>
      </w:r>
      <w:proofErr w:type="spellEnd"/>
      <w:r w:rsidRPr="00085984">
        <w:rPr>
          <w:rFonts w:eastAsia="Times New Roman"/>
        </w:rPr>
        <w:t xml:space="preserve"> </w:t>
      </w:r>
      <w:proofErr w:type="spellStart"/>
      <w:r w:rsidRPr="00085984">
        <w:rPr>
          <w:rFonts w:eastAsia="Times New Roman"/>
        </w:rPr>
        <w:t>Haftung</w:t>
      </w:r>
      <w:proofErr w:type="spellEnd"/>
      <w:r>
        <w:rPr>
          <w:rFonts w:eastAsia="Times New Roman"/>
        </w:rPr>
        <w:t>-Oddział w Polsce</w:t>
      </w:r>
      <w:r w:rsidRPr="00085984">
        <w:rPr>
          <w:rFonts w:eastAsia="Times New Roman"/>
        </w:rPr>
        <w:t xml:space="preserve"> zawarły umowę przelewu powierniczego</w:t>
      </w:r>
      <w:r>
        <w:rPr>
          <w:rFonts w:eastAsia="Times New Roman"/>
        </w:rPr>
        <w:t xml:space="preserve"> do inkasa</w:t>
      </w:r>
      <w:r w:rsidRPr="00085984">
        <w:rPr>
          <w:rFonts w:eastAsia="Times New Roman"/>
        </w:rPr>
        <w:t>.</w:t>
      </w:r>
      <w:r>
        <w:rPr>
          <w:rFonts w:eastAsia="Times New Roman"/>
        </w:rPr>
        <w:t xml:space="preserve"> Na jej podstawie powód zobowiązał się do dochodzenia wierzytelności przysługujących pierwotnie HB Bank.</w:t>
      </w:r>
    </w:p>
    <w:p w:rsidR="00E02F38" w:rsidRPr="00B125F2" w:rsidRDefault="00E02F38" w:rsidP="00E02F38">
      <w:pPr>
        <w:ind w:firstLine="426"/>
        <w:jc w:val="both"/>
        <w:rPr>
          <w:rFonts w:eastAsia="Times New Roman"/>
          <w:i/>
          <w:iCs/>
        </w:rPr>
      </w:pPr>
      <w:r w:rsidRPr="00B125F2">
        <w:rPr>
          <w:rFonts w:eastAsia="Times New Roman"/>
          <w:i/>
          <w:iCs/>
          <w:u w:val="single"/>
        </w:rPr>
        <w:t>Dowód:</w:t>
      </w:r>
      <w:r w:rsidRPr="00B125F2">
        <w:rPr>
          <w:rFonts w:eastAsia="Times New Roman"/>
          <w:i/>
          <w:iCs/>
        </w:rPr>
        <w:t xml:space="preserve"> </w:t>
      </w:r>
      <w:r>
        <w:rPr>
          <w:rFonts w:eastAsia="Times New Roman"/>
          <w:i/>
          <w:iCs/>
        </w:rPr>
        <w:t xml:space="preserve">umowa przelewu powierniczego do inkasa </w:t>
      </w:r>
      <w:r w:rsidRPr="00B125F2">
        <w:rPr>
          <w:rFonts w:eastAsia="Times New Roman"/>
          <w:i/>
          <w:iCs/>
        </w:rPr>
        <w:t xml:space="preserve">(k. </w:t>
      </w:r>
      <w:r>
        <w:rPr>
          <w:rFonts w:eastAsia="Times New Roman"/>
          <w:i/>
          <w:iCs/>
        </w:rPr>
        <w:t>14-15</w:t>
      </w:r>
      <w:r w:rsidRPr="00B125F2">
        <w:rPr>
          <w:rFonts w:eastAsia="Times New Roman"/>
          <w:i/>
          <w:iCs/>
        </w:rPr>
        <w:t>)</w:t>
      </w:r>
    </w:p>
    <w:p w:rsidR="00E02F38" w:rsidRPr="00B125F2" w:rsidRDefault="00E02F38" w:rsidP="00E02F38">
      <w:pPr>
        <w:ind w:firstLine="426"/>
        <w:jc w:val="both"/>
        <w:rPr>
          <w:rFonts w:eastAsia="Times New Roman"/>
        </w:rPr>
      </w:pPr>
      <w:r>
        <w:rPr>
          <w:rFonts w:eastAsia="Times New Roman"/>
        </w:rPr>
        <w:t>Powód bezskutecznie wzywał pozwaną do zapłaty</w:t>
      </w:r>
      <w:r w:rsidRPr="00B125F2">
        <w:rPr>
          <w:rFonts w:eastAsia="Times New Roman"/>
        </w:rPr>
        <w:t>.</w:t>
      </w:r>
    </w:p>
    <w:p w:rsidR="00E02F38" w:rsidRPr="00B125F2" w:rsidRDefault="00E02F38" w:rsidP="00E02F38">
      <w:pPr>
        <w:ind w:firstLine="426"/>
        <w:jc w:val="both"/>
        <w:rPr>
          <w:rFonts w:eastAsia="Times New Roman"/>
          <w:i/>
          <w:iCs/>
        </w:rPr>
      </w:pPr>
      <w:r w:rsidRPr="00B125F2">
        <w:rPr>
          <w:rFonts w:eastAsia="Times New Roman"/>
          <w:i/>
          <w:iCs/>
          <w:u w:val="single"/>
        </w:rPr>
        <w:t>Okoliczność bezsporna</w:t>
      </w:r>
      <w:r w:rsidRPr="00B125F2">
        <w:rPr>
          <w:rFonts w:eastAsia="Times New Roman"/>
          <w:i/>
          <w:iCs/>
        </w:rPr>
        <w:t xml:space="preserve"> – kopia </w:t>
      </w:r>
      <w:r>
        <w:rPr>
          <w:rFonts w:eastAsia="Times New Roman"/>
          <w:i/>
          <w:iCs/>
        </w:rPr>
        <w:t>wezwania (k. …).</w:t>
      </w:r>
    </w:p>
    <w:p w:rsidR="00E02F38" w:rsidRPr="00B125F2" w:rsidRDefault="00E02F38" w:rsidP="00E02F38">
      <w:pPr>
        <w:ind w:firstLine="426"/>
        <w:jc w:val="both"/>
        <w:rPr>
          <w:rFonts w:eastAsia="Times New Roman"/>
        </w:rPr>
      </w:pPr>
    </w:p>
    <w:p w:rsidR="00E02F38" w:rsidRPr="00B125F2" w:rsidRDefault="00E02F38" w:rsidP="00E02F38">
      <w:pPr>
        <w:ind w:firstLine="426"/>
        <w:jc w:val="both"/>
        <w:rPr>
          <w:rFonts w:eastAsia="Times New Roman"/>
        </w:rPr>
      </w:pPr>
      <w:r w:rsidRPr="00B125F2">
        <w:rPr>
          <w:rFonts w:eastAsia="Times New Roman"/>
        </w:rPr>
        <w:t>Powyższy stan faktyczny Sąd ustalił na podstawie dokumentów i kopii dokumentów prywatnych złożonych przez strony do akt sprawy. Uwzględniając w charakterze środków dowodowych kopie dokumentów Sąd miał na uwadze, że ich prawdziwość i rzetelność nie była kwestionowana przez żadną ze stron.</w:t>
      </w:r>
    </w:p>
    <w:p w:rsidR="00E02F38" w:rsidRPr="00B125F2" w:rsidRDefault="00E02F38" w:rsidP="00E02F38">
      <w:pPr>
        <w:ind w:firstLine="426"/>
        <w:jc w:val="both"/>
        <w:rPr>
          <w:rFonts w:eastAsia="Times New Roman"/>
        </w:rPr>
      </w:pPr>
      <w:r w:rsidRPr="00B125F2">
        <w:rPr>
          <w:rFonts w:eastAsia="Times New Roman"/>
        </w:rPr>
        <w:t>Zeznaniom świadk</w:t>
      </w:r>
      <w:r>
        <w:rPr>
          <w:rFonts w:eastAsia="Times New Roman"/>
        </w:rPr>
        <w:t>a</w:t>
      </w:r>
      <w:r w:rsidRPr="00B125F2">
        <w:rPr>
          <w:rFonts w:eastAsia="Times New Roman"/>
        </w:rPr>
        <w:t xml:space="preserve"> </w:t>
      </w:r>
      <w:r>
        <w:rPr>
          <w:rFonts w:eastAsia="Times New Roman"/>
        </w:rPr>
        <w:t xml:space="preserve">Janusza Nowaka </w:t>
      </w:r>
      <w:r w:rsidRPr="00B125F2">
        <w:rPr>
          <w:rFonts w:eastAsia="Times New Roman"/>
        </w:rPr>
        <w:t xml:space="preserve">należało </w:t>
      </w:r>
      <w:r>
        <w:rPr>
          <w:rFonts w:eastAsia="Times New Roman"/>
        </w:rPr>
        <w:t xml:space="preserve">zasadniczo </w:t>
      </w:r>
      <w:r w:rsidRPr="00B125F2">
        <w:rPr>
          <w:rFonts w:eastAsia="Times New Roman"/>
        </w:rPr>
        <w:t xml:space="preserve">dać wiarę, albowiem brzmią one spójnie i w pełni korelują ze sobą oraz z resztą zgromadzonego materiału dowodowego. </w:t>
      </w:r>
      <w:r>
        <w:rPr>
          <w:rFonts w:eastAsia="Times New Roman"/>
        </w:rPr>
        <w:t>Powód nie kwestionował tych zeznań, a podawane przez świadka przyczyny trudnej sytuacji finansowej spółki nie były przedmiotem rozważań w sprawie</w:t>
      </w:r>
      <w:r w:rsidRPr="00B125F2">
        <w:rPr>
          <w:rFonts w:eastAsia="Times New Roman"/>
        </w:rPr>
        <w:t xml:space="preserve">. </w:t>
      </w:r>
      <w:r>
        <w:rPr>
          <w:rFonts w:eastAsia="Times New Roman"/>
        </w:rPr>
        <w:t>Podobnie należy ocenić zeznania pozwanej Barbary Nowak; podkreślić trzeba szczególnie to, że pozwana konsekwentnie twierdziła, iż nie znała stanu spraw Spółki jej męża, zaś powód, który z tego faktu wywodził skutki prawne, nie wykazał, że było inaczej. W tym stanie rzeczy, na zasadzie art. 6 k.c., należało przyjąć, że pozwana nie wiedziała, za jakie zobowiązania poręcza</w:t>
      </w:r>
      <w:r w:rsidRPr="00B125F2">
        <w:rPr>
          <w:rFonts w:eastAsia="Times New Roman"/>
        </w:rPr>
        <w:t>.</w:t>
      </w:r>
    </w:p>
    <w:p w:rsidR="00E02F38" w:rsidRPr="00B125F2" w:rsidRDefault="00E02F38" w:rsidP="00E02F38">
      <w:pPr>
        <w:ind w:firstLine="426"/>
        <w:jc w:val="both"/>
        <w:rPr>
          <w:rFonts w:eastAsia="Times New Roman"/>
        </w:rPr>
      </w:pPr>
    </w:p>
    <w:p w:rsidR="00E02F38" w:rsidRPr="00B125F2" w:rsidRDefault="00E02F38" w:rsidP="00E02F38">
      <w:pPr>
        <w:ind w:firstLine="426"/>
        <w:jc w:val="both"/>
        <w:rPr>
          <w:rFonts w:eastAsia="Times New Roman"/>
          <w:b/>
          <w:bCs/>
        </w:rPr>
      </w:pPr>
      <w:r w:rsidRPr="00B125F2">
        <w:rPr>
          <w:rFonts w:eastAsia="Times New Roman"/>
          <w:b/>
          <w:bCs/>
        </w:rPr>
        <w:t xml:space="preserve">Sąd </w:t>
      </w:r>
      <w:r>
        <w:rPr>
          <w:rFonts w:eastAsia="Times New Roman"/>
          <w:b/>
          <w:bCs/>
        </w:rPr>
        <w:t>Okręgowy</w:t>
      </w:r>
      <w:r w:rsidRPr="00B125F2">
        <w:rPr>
          <w:rFonts w:eastAsia="Times New Roman"/>
          <w:b/>
          <w:bCs/>
        </w:rPr>
        <w:t xml:space="preserve"> zważył, co następuje:</w:t>
      </w:r>
    </w:p>
    <w:p w:rsidR="00E02F38" w:rsidRPr="00B125F2" w:rsidRDefault="00E02F38" w:rsidP="00E02F38">
      <w:pPr>
        <w:ind w:firstLine="426"/>
        <w:jc w:val="both"/>
        <w:rPr>
          <w:rFonts w:eastAsia="Times New Roman"/>
        </w:rPr>
      </w:pPr>
      <w:r>
        <w:rPr>
          <w:rFonts w:eastAsia="Times New Roman"/>
        </w:rPr>
        <w:t>Nakaz zapłaty wydany w postępowaniu nakazowym należało uchylić, zaś p</w:t>
      </w:r>
      <w:r w:rsidRPr="00B125F2">
        <w:rPr>
          <w:rFonts w:eastAsia="Times New Roman"/>
        </w:rPr>
        <w:t>owództwo nie zasługiwało na uwzględnienie.</w:t>
      </w:r>
    </w:p>
    <w:p w:rsidR="00E02F38" w:rsidRDefault="00E02F38" w:rsidP="00E02F38">
      <w:pPr>
        <w:ind w:firstLine="426"/>
        <w:jc w:val="both"/>
        <w:rPr>
          <w:rFonts w:eastAsia="Times New Roman"/>
          <w:iCs/>
        </w:rPr>
      </w:pPr>
      <w:r>
        <w:rPr>
          <w:rFonts w:eastAsia="Times New Roman"/>
        </w:rPr>
        <w:t xml:space="preserve">Powód nie wskazał w pozwie podstawy prawnej swojego żądania, nie miał jednak takiego obowiązku, zważywszy </w:t>
      </w:r>
      <w:r w:rsidRPr="00B125F2">
        <w:rPr>
          <w:rFonts w:eastAsia="Times New Roman"/>
        </w:rPr>
        <w:t>że w myśl art. 187 § 1 pkt 2 k.p.c. ciążył na nim jedynie obowiązek przytoczenia w pozwie okoliczności faktycznych uzasadniających żądanie. Kwalifikacja prawna żądania oraz przyrównanie powoływanych przez powoda twierdzeń, zweryfikowanych w postępowaniu dowodowym, do miarodajnej normy prawa materialnego, jest bezspornie rzeczą sądu (</w:t>
      </w:r>
      <w:proofErr w:type="spellStart"/>
      <w:r w:rsidRPr="00B125F2">
        <w:rPr>
          <w:rFonts w:eastAsia="Times New Roman"/>
          <w:i/>
        </w:rPr>
        <w:t>facta</w:t>
      </w:r>
      <w:proofErr w:type="spellEnd"/>
      <w:r w:rsidRPr="00B125F2">
        <w:rPr>
          <w:rFonts w:eastAsia="Times New Roman"/>
          <w:i/>
        </w:rPr>
        <w:t xml:space="preserve"> </w:t>
      </w:r>
      <w:proofErr w:type="spellStart"/>
      <w:r w:rsidRPr="00B125F2">
        <w:rPr>
          <w:rFonts w:eastAsia="Times New Roman"/>
          <w:i/>
        </w:rPr>
        <w:t>probantur</w:t>
      </w:r>
      <w:proofErr w:type="spellEnd"/>
      <w:r w:rsidRPr="00B125F2">
        <w:rPr>
          <w:rFonts w:eastAsia="Times New Roman"/>
          <w:i/>
        </w:rPr>
        <w:t xml:space="preserve"> </w:t>
      </w:r>
      <w:proofErr w:type="spellStart"/>
      <w:r w:rsidRPr="00B125F2">
        <w:rPr>
          <w:rFonts w:eastAsia="Times New Roman"/>
          <w:i/>
        </w:rPr>
        <w:t>iura</w:t>
      </w:r>
      <w:proofErr w:type="spellEnd"/>
      <w:r w:rsidRPr="00B125F2">
        <w:rPr>
          <w:rFonts w:eastAsia="Times New Roman"/>
          <w:i/>
        </w:rPr>
        <w:t xml:space="preserve"> </w:t>
      </w:r>
      <w:proofErr w:type="spellStart"/>
      <w:r w:rsidRPr="00B125F2">
        <w:rPr>
          <w:rFonts w:eastAsia="Times New Roman"/>
          <w:i/>
        </w:rPr>
        <w:t>novit</w:t>
      </w:r>
      <w:proofErr w:type="spellEnd"/>
      <w:r w:rsidRPr="00B125F2">
        <w:rPr>
          <w:rFonts w:eastAsia="Times New Roman"/>
          <w:i/>
        </w:rPr>
        <w:t xml:space="preserve"> </w:t>
      </w:r>
      <w:proofErr w:type="spellStart"/>
      <w:r w:rsidRPr="00B125F2">
        <w:rPr>
          <w:rFonts w:eastAsia="Times New Roman"/>
          <w:i/>
        </w:rPr>
        <w:t>curia</w:t>
      </w:r>
      <w:proofErr w:type="spellEnd"/>
      <w:r w:rsidRPr="00B125F2">
        <w:rPr>
          <w:rFonts w:eastAsia="Times New Roman"/>
        </w:rPr>
        <w:t xml:space="preserve">). Na uwzględnienie powództwa w całości lub w części, jeżeli dowiedzione zostaną okoliczności, na których zostało ono oparte, nie ma zatem wpływu ani niewskazanie podstawy prawnej w ogóle, ani wskazanie podstawy prawnej, która okazała się błędna (zob. m.in. wyroki SN: z dnia </w:t>
      </w:r>
      <w:r w:rsidRPr="00B125F2">
        <w:rPr>
          <w:rFonts w:eastAsia="Times New Roman"/>
          <w:iCs/>
        </w:rPr>
        <w:t>2 maja 1957 r., OSNC 1957 nr 3, poz. 72; z dnia 23 lutego 1999 r., I CKN 252/98, OCNC 1999 nr 9, poz. 152; z dnia 6 grudnia 2006 r., IV CSK 269/06, LEX nr 233045).</w:t>
      </w:r>
    </w:p>
    <w:p w:rsidR="00E02F38" w:rsidRPr="00B125F2" w:rsidRDefault="00E02F38" w:rsidP="00E02F38">
      <w:pPr>
        <w:ind w:firstLine="426"/>
        <w:jc w:val="both"/>
        <w:rPr>
          <w:rFonts w:eastAsia="Times New Roman"/>
          <w:iCs/>
        </w:rPr>
      </w:pPr>
      <w:r>
        <w:rPr>
          <w:rFonts w:eastAsia="Times New Roman"/>
          <w:iCs/>
        </w:rPr>
        <w:t>Sąd stoi na stanowisku, że zobowiązania wynikające ze stosunków handlowych między powodem, który prowadzi działalność gospodarczą w Polsce, a pozwaną, która jest obywatelką polską i tutaj zamieszkuje, nie mogą podlegać prawu innemu niż polskie. Rację ma pozwana, że w umowie poręczenia powołano się na prawo niemieckie jedynie ze względu na to, że bank sporządzający jej wzorzec oparł się na bliskich mu przepisach prawa państwa jego siedziby. Jednakże pozwana, której przepisy tego systemu prawnego nie są znane, nie mogła zaciągnąć zobowiązania na jego podstawie. Teza przeciwna godziłaby nie tylko w nadrzędność polskiego porządku prawnego, które w przeciwieństwie do prawa niemieckiego obowiązuje na całym polskim terytorium, lecz również jest nie do pogodzenia ze słusznym interesem pozwanej jako strony słabszej w stosunku do banku oraz powoda działającego w jego imieniu. Oceny prawnej spornego stosunku poręczenia należy więc dokonywać jedynie na podstawie prawa polskiego, zwłaszcza że pozwana – o czym jeszcze będzie mowa – na jego podstawie uchyliła się od skutków swojego oświadczenia woli.</w:t>
      </w:r>
    </w:p>
    <w:p w:rsidR="00E02F38" w:rsidRDefault="00E02F38" w:rsidP="00E02F38">
      <w:pPr>
        <w:ind w:firstLine="426"/>
        <w:jc w:val="both"/>
      </w:pPr>
      <w:r>
        <w:rPr>
          <w:rFonts w:eastAsia="Times New Roman"/>
        </w:rPr>
        <w:t>Skoro powód domagał się zapłaty z tytułu poręczenia udzielonego przez pozwaną za zobowiązania „Nowak-Moda” Spółki z ograniczoną odpowiedzialnością, to należało zbadać, czy roszczenie powoda znajduje oparcie w przepisach kodeksu cywilnego</w:t>
      </w:r>
      <w:r w:rsidRPr="00B125F2">
        <w:rPr>
          <w:rFonts w:eastAsia="Times New Roman"/>
        </w:rPr>
        <w:t>.</w:t>
      </w:r>
      <w:r>
        <w:rPr>
          <w:rFonts w:eastAsia="Times New Roman"/>
        </w:rPr>
        <w:t xml:space="preserve"> Zgodnie z art. 876 § 1 k.c. p</w:t>
      </w:r>
      <w:r>
        <w:t xml:space="preserve">rzez umowę poręczenia poręczyciel zobowiązuje się względem wierzyciela wykonać zobowiązanie na wypadek, gdyby dłużnik zobowiązania nie wykonał. Poręczenie zatem stanowi umowę jednostronnie zobowiązującą i akcesoryjną. Byt i zakres zobowiązania poręczyciela zależy od każdoczesnego istnienia i zakresu zobowiązania dłużnika głównego. Zobowiązanie się przez poręczyciela względem wierzyciela ma jednak samodzielny charakter (J. </w:t>
      </w:r>
      <w:proofErr w:type="spellStart"/>
      <w:r>
        <w:t>Gołaczyński</w:t>
      </w:r>
      <w:proofErr w:type="spellEnd"/>
      <w:r>
        <w:t xml:space="preserve">, [w:] E. Gniewek, P. Machnikowski (red.), </w:t>
      </w:r>
      <w:r w:rsidRPr="00430D57">
        <w:rPr>
          <w:i/>
        </w:rPr>
        <w:t>Kodeks cywilny. Komentarz</w:t>
      </w:r>
      <w:r>
        <w:t>, wyd. 9, Warszawa 2019, art. 876 Nb. 9</w:t>
      </w:r>
      <w:r>
        <w:noBreakHyphen/>
        <w:t>10). Poręczyciel odpowiada – w braku odmiennego zastrzeżenia – tak jak dłużnik solidarny (art. 881 k.c.), sam jednak nie jest dłużnikiem solidarnym. Z wierzycielem łączy go odrębne zobowiązanie. Z mocy ustawy może podnieść zarzuty przysługujące dłużnikowi głównemu ze stosunku łączącego go z wierzycielem (art. 883 § 1 k.c.), oprócz tego jednak dysponuje również własnymi zarzutami, które może przeciwstawić żądaniu przez wierzyciela wykonania przez niego zobowiązania, którego nie wykonał dłużnik główny.</w:t>
      </w:r>
    </w:p>
    <w:p w:rsidR="00E02F38" w:rsidRDefault="00E02F38" w:rsidP="00E02F38">
      <w:pPr>
        <w:ind w:firstLine="426"/>
        <w:jc w:val="both"/>
      </w:pPr>
      <w:r>
        <w:lastRenderedPageBreak/>
        <w:t>W ocenie Sądu, nakaz zapłaty należało uchylić, a powództwo powinno być oddalone z trzech, zasadniczych powodów.</w:t>
      </w:r>
    </w:p>
    <w:p w:rsidR="00E02F38" w:rsidRDefault="00E02F38" w:rsidP="00E02F38">
      <w:pPr>
        <w:ind w:firstLine="426"/>
        <w:jc w:val="both"/>
      </w:pPr>
      <w:r>
        <w:t xml:space="preserve">Po pierwsze, w ocenie Sądu powód nie wykazał w sposób bezsporny, że jest czynnie legitymowany do wytoczenia niniejszego powództwa. Zgodnie z umową o współpracy zawartą pomiędzy HB Bank GmbH a powodem, ten ostatni zobowiązał się do </w:t>
      </w:r>
      <w:r w:rsidRPr="003B4D54">
        <w:t>świadczeni</w:t>
      </w:r>
      <w:r>
        <w:t>a</w:t>
      </w:r>
      <w:r w:rsidRPr="003B4D54">
        <w:t xml:space="preserve"> usług nadzorowania i uzgadniania sald, jak również odzyskiwania należności od partnerów handlowych HB Bank w Polsce</w:t>
      </w:r>
      <w:r>
        <w:t xml:space="preserve"> –</w:t>
      </w:r>
      <w:r w:rsidRPr="003B4D54">
        <w:t xml:space="preserve"> w każdym wypadku </w:t>
      </w:r>
      <w:r>
        <w:t xml:space="preserve">na podstawie </w:t>
      </w:r>
      <w:r w:rsidRPr="003B4D54">
        <w:t>pełnomocnictw</w:t>
      </w:r>
      <w:r>
        <w:t>a</w:t>
      </w:r>
      <w:r w:rsidRPr="003B4D54">
        <w:t xml:space="preserve"> szczególne</w:t>
      </w:r>
      <w:r>
        <w:t>go (§ 1 umowy, tłum. przysięgłe – k. 13)</w:t>
      </w:r>
      <w:r w:rsidRPr="003B4D54">
        <w:t>.</w:t>
      </w:r>
      <w:r>
        <w:t xml:space="preserve"> W kontekście tej umowy należy interpretować zawartą później między tymi samymi stronami umowę przelewu powierniczego, która w ocenie Sądu nie obejmowała w ogóle wierzytelności banku wobec pozwanej, z uwagi na jej samodzielny (choć akcesoryjny) charakter. Powód nie twierdził, że  pełnomocnictwa do odzyskania należności od pozwanej (jakiegokolwiek, a tym bardziej szczególnego) kiedykolwiek mu udzielono, a co za tym idzie, do wytoczenia powództwa o zapłatę byłby legitymowany jedynie HB Bank, a nie powód, który jedynie twierdził, że zlecono mu odzyskanie tej należności.</w:t>
      </w:r>
    </w:p>
    <w:p w:rsidR="00E02F38" w:rsidRDefault="00E02F38" w:rsidP="00E02F38">
      <w:pPr>
        <w:ind w:firstLine="426"/>
        <w:jc w:val="both"/>
      </w:pPr>
      <w:r>
        <w:t>Po drugie, w ocenie Sądu poręczenie udzielone HB Bank GmbH jako wierzycielowi należy ocenić jako bezwzględnie nieważne na podstawie art. 58 k.c. Sprzeczności z ustawą, w rozumieniu art. 58 § 1 k.c., Sąd dopatruje się w tym, że treść czynności dokonanej przez pozwaną nie pozwala na ustalenie, za jaki dług Spółki „Nowak-Moda” pozwana poręczała. Dokonując wykładni zgodnie z art. 65 § 1 k.c. Sąd miał na uwadze, że w okolicznościach sprawy pozwana nie była ani wspólnikiem, ani członkiem zarządu Spółki-dłużniczki głównej, a co za tym idzie, nie znała stanu jej interesów i nie mogła, nawet na podstawie swojego stanu wiedzy o sprawach Spółki, zinterpretować prawidłowo zwrotów takich, jak np. „wszelkie długi ww. firmy członkowskiej i jego następców prawnych, w szczególności za roszczenia księgowe, zobowiązania wekslowe i roszczenia z zaciągniętych pożyczek”. Pozwana nie miała żadnej kontroli nad wysokością poręczanego zobowiązania ani świadomości, gdzie leżą granice jej odpowiedzialności. Ogólna klauzula umowna pozwala twierdzić, że część zobowiązań objętych tym globalnym poręczeniem dotyczyła zobowiązań przyszłych, które w chwili udzielania poręczenia jeszcze nie istniały i nie mogły być, nawet pośrednio, zidentyfikowane przez pozwaną. O ile oznaczenie wysokości odpowiedzialności poręczyciela w myśl art. 878 § 1 k.c. może także wynikać pośrednio z odesłania do treści czynności prawnej, z której wynika poręczony dług przyszły, o tyle jest to adekwatne jedynie pod warunkiem możliwości oznaczenia zakresu odpowiedzialności poręczyciela w sposób ścisły i niebudzący wątpliwości przy wykorzystaniu dyrektyw wykładni oświadczeń woli (wyr. SN z 26.09.2007 r., IV CSK 127/07, LEX nr 485872; z 11.05.1017 r., II CSK 496/16, LEX nr 2319655). Zobowiązanie dłużnika głównego, za które udziela się poręczenia (art. 876 § 1 k.c.), powinno być zdaniem Sądu możliwe do zidentyfikowania pod względem podmiotowym (osoby dłużnika głównego) oraz przedmiotowym (poręczanego zobowiązania wobec wierzyciela głównego), a tak w rozważanym przypadku nie było. To w ocenie Sądu powinno prowadzić do ustalenia, że umowa poręczenia, jako sprzeczna z bezwzględnie obowiązującą zasadą określoności poręczanego długu wywodzoną z art. 876 § 1 k.c. oraz z oznaczeniem maksymalnego limitu odpowiedzialności poręczyciela za dług przyszły zgodnie z art. 878 § 1 k.c., jest bezwzględnie nieważna na mocy art. 58 § 1 k.c.</w:t>
      </w:r>
    </w:p>
    <w:p w:rsidR="00E02F38" w:rsidRPr="00B125F2" w:rsidRDefault="00E02F38" w:rsidP="00E02F38">
      <w:pPr>
        <w:ind w:firstLine="426"/>
        <w:jc w:val="both"/>
        <w:rPr>
          <w:rFonts w:eastAsia="Times New Roman"/>
        </w:rPr>
      </w:pPr>
      <w:r>
        <w:t>Można również dopatrywać się nieważności zobowiązania z uwagi na jego sprzeczność z zasadami współżycia społecznego, mianowicie z tego powodu, że powód – działając w imieniu wierzyciela, tj. HB Bank GmbH – uzyskał poręczenie w okolicznościach etycznie nagannych, wykorzystując niewiedzę pozwanej o stanie interesów Spółki prowadzonej przez jej męża, pod nieobecność tego ostatniego. Przedstawienie dokumentu do podpisania było dla pozwanej zaskakujące i spowodowało silne emocje, które uniemożliwiły jej racjonalną ocenę sytuacji, zwłaszcza że nie miała ona możliwości kontaktu z mężem i wyjaśnienia, o jaką czynność właściwie chodzi. Przez to przyjęła na siebie zobowiązanie w praktyce niemożliwe do spłaty. Z tego względu udzielenie przez nią poręczenia godzi również w zasady współżycia społecznego na podstawie art. 58 § 2 k.c., ponieważ wyzyskano jej słabość.</w:t>
      </w:r>
    </w:p>
    <w:p w:rsidR="00E02F38" w:rsidRDefault="00E02F38" w:rsidP="00E02F38">
      <w:pPr>
        <w:ind w:firstLine="426"/>
        <w:jc w:val="both"/>
      </w:pPr>
      <w:r>
        <w:rPr>
          <w:rFonts w:eastAsia="Times New Roman"/>
        </w:rPr>
        <w:t xml:space="preserve">Wreszcie po trzecie, niezależnie od dotychczasowych argumentów pozwana trafnie podniosła okoliczność, że uchyliła się od skutków złożonego przez siebie oświadczenia woli. Zgodnie z art. 88 k.c. </w:t>
      </w:r>
      <w:r>
        <w:t>uchylenie się od skutków prawnych oświadczenia woli, które zostało złożone innej osobie pod wpływem błędu lub groźby, następuje przez oświadczenie złożone tej osobie na piśmie (§ 1); uprawnienie do uchylenia się wygasa: w razie błędu - z upływem roku od jego wykrycia, a w razie groźby - z upływem roku od chwili, kiedy stan obawy ustał (§ 2). Termin powyższy bezsprzecznie nie upłynął w dacie złożenia oświadczenia woli o uchyleniu się od skutków spornego poręczenia: pozwana udzieliła go 23 października 2017 r., a uchyliła się od jego skutków 30 kwietnia 2018 r. Jeśli chodzi o przesłanki materialne uchylenia się, były one spełnione z tego względu, że pracownik powoda nie udzielił jej informacji o charakterze dokumentu, który podpisuje, zamiast tego zapewniając ją, że nie istnieje zagrożenie dla jej interesu, a zarazem brak podpisu będzie skutkował zakończeniem współpracy z dłużniczką główną. Sąd w składzie rozpoznającym sprawę podziela pogląd doktryny, że p</w:t>
      </w:r>
      <w:r w:rsidRPr="005D3FDD">
        <w:t>odstępne zachowanie wywołujące błąd może polegać na działaniu lub zaniechaniu</w:t>
      </w:r>
      <w:r>
        <w:t>,</w:t>
      </w:r>
      <w:r w:rsidRPr="005D3FDD">
        <w:t xml:space="preserve"> </w:t>
      </w:r>
      <w:r>
        <w:t>p</w:t>
      </w:r>
      <w:r w:rsidRPr="005D3FDD">
        <w:t>rzy czym zaniechanie może być postrzegane jako podstępne wywołanie błędu tylko o tyle, o ile ten, komu to zaniechanie jest przypisywane, miał obowiązek poinformowania drugiej strony o rzeczywistym stanie rzeczy. Obowiązek taki może wynikać z ustawy lub, co ma miejsce częściej, z zasad współżycia społecznego (</w:t>
      </w:r>
      <w:r>
        <w:t xml:space="preserve">R. Strugała [w:] E. Gniewek, P. Machnikowski, Kodeks…, op. </w:t>
      </w:r>
      <w:r>
        <w:lastRenderedPageBreak/>
        <w:t>cit., art. 86 Nb. 2 i cyt. tam dalsze źródła literatury</w:t>
      </w:r>
      <w:r w:rsidRPr="005D3FDD">
        <w:t xml:space="preserve">; </w:t>
      </w:r>
      <w:r>
        <w:t xml:space="preserve">wyroki </w:t>
      </w:r>
      <w:r w:rsidRPr="005D3FDD">
        <w:t>SN</w:t>
      </w:r>
      <w:r>
        <w:t>:</w:t>
      </w:r>
      <w:r w:rsidRPr="005D3FDD">
        <w:t xml:space="preserve"> z 28.4.1967 r., I CR 563/66, OSN 1967, Nr 12, poz. 227; z 10.2.2011 r., IV CSK 336/10, </w:t>
      </w:r>
      <w:proofErr w:type="spellStart"/>
      <w:r w:rsidRPr="005D3FDD">
        <w:t>Legalis</w:t>
      </w:r>
      <w:proofErr w:type="spellEnd"/>
      <w:r w:rsidRPr="005D3FDD">
        <w:t>).</w:t>
      </w:r>
      <w:r>
        <w:t xml:space="preserve"> Pracownik powoda powinien był wyjaśnić pozwanej, na co się godzi podpisując dokument. Co więcej, powódka nie miała również możliwości swobodnego podjęcia i wyrażenia woli, działała bowiem pod silną presją psychiczną – przymusem wywołanym przez oświadczenia pracownika powoda. Powyższa okoliczność w ocenie Sądu wyczerpuje również hipotezę art. 82 k.c.</w:t>
      </w:r>
    </w:p>
    <w:p w:rsidR="00E02F38" w:rsidRDefault="00E02F38" w:rsidP="00E02F38">
      <w:pPr>
        <w:ind w:firstLine="426"/>
        <w:jc w:val="both"/>
      </w:pPr>
      <w:r>
        <w:t>Powyższe rozważania prowadzą do wniosku, iż gdyby nawet czynność prawna była ważna, to i tak pozwana skutecznie wzruszyła złożone przez siebie oświadczenie woli, zaś skutki poręczenia ustały z mocą wsteczną (</w:t>
      </w:r>
      <w:r w:rsidRPr="005D3FDD">
        <w:rPr>
          <w:i/>
        </w:rPr>
        <w:t xml:space="preserve">ex </w:t>
      </w:r>
      <w:proofErr w:type="spellStart"/>
      <w:r w:rsidRPr="005D3FDD">
        <w:rPr>
          <w:i/>
        </w:rPr>
        <w:t>tunc</w:t>
      </w:r>
      <w:proofErr w:type="spellEnd"/>
      <w:r>
        <w:t>), tak iż pozwana w chwili wytoczenia powództwa nie była już wobec powoda zobowiązana do spełnienia świadczenia.</w:t>
      </w:r>
    </w:p>
    <w:p w:rsidR="00E02F38" w:rsidRPr="00B125F2" w:rsidRDefault="00E02F38" w:rsidP="00E02F38">
      <w:pPr>
        <w:ind w:firstLine="426"/>
        <w:jc w:val="both"/>
        <w:rPr>
          <w:rFonts w:eastAsia="Times New Roman"/>
        </w:rPr>
      </w:pPr>
    </w:p>
    <w:p w:rsidR="00E02F38" w:rsidRPr="00B125F2" w:rsidRDefault="00E02F38" w:rsidP="00E02F38">
      <w:pPr>
        <w:ind w:firstLine="426"/>
        <w:jc w:val="both"/>
        <w:rPr>
          <w:rFonts w:eastAsia="Times New Roman"/>
        </w:rPr>
      </w:pPr>
      <w:r w:rsidRPr="00B125F2">
        <w:rPr>
          <w:rFonts w:eastAsia="Times New Roman"/>
        </w:rPr>
        <w:t xml:space="preserve">Mając na względzie powyższe, </w:t>
      </w:r>
      <w:r>
        <w:rPr>
          <w:rFonts w:eastAsia="Times New Roman"/>
        </w:rPr>
        <w:t xml:space="preserve">Sąd Okręgowy </w:t>
      </w:r>
      <w:r w:rsidRPr="00B125F2">
        <w:rPr>
          <w:rFonts w:eastAsia="Times New Roman"/>
        </w:rPr>
        <w:t xml:space="preserve">na podstawie </w:t>
      </w:r>
      <w:r>
        <w:rPr>
          <w:rFonts w:eastAsia="Times New Roman"/>
        </w:rPr>
        <w:t xml:space="preserve">art. 96 k.c. </w:t>
      </w:r>
      <w:r w:rsidRPr="00B125F2">
        <w:rPr>
          <w:rFonts w:eastAsia="Times New Roman"/>
          <w:i/>
        </w:rPr>
        <w:t>a contrario</w:t>
      </w:r>
      <w:r w:rsidRPr="00B125F2">
        <w:rPr>
          <w:rFonts w:eastAsia="Times New Roman"/>
        </w:rPr>
        <w:t xml:space="preserve"> </w:t>
      </w:r>
      <w:r>
        <w:rPr>
          <w:rFonts w:eastAsia="Times New Roman"/>
        </w:rPr>
        <w:t xml:space="preserve">oraz art. 58 § 1 k.c. w zw. z </w:t>
      </w:r>
      <w:r w:rsidRPr="00B125F2">
        <w:rPr>
          <w:rFonts w:eastAsia="Times New Roman"/>
        </w:rPr>
        <w:t>art. 8</w:t>
      </w:r>
      <w:r>
        <w:rPr>
          <w:rFonts w:eastAsia="Times New Roman"/>
        </w:rPr>
        <w:t>76</w:t>
      </w:r>
      <w:r w:rsidRPr="00B125F2">
        <w:rPr>
          <w:rFonts w:eastAsia="Times New Roman"/>
        </w:rPr>
        <w:t xml:space="preserve"> § 1 k.c. </w:t>
      </w:r>
      <w:r>
        <w:rPr>
          <w:rFonts w:eastAsia="Times New Roman"/>
        </w:rPr>
        <w:t xml:space="preserve">i </w:t>
      </w:r>
      <w:r w:rsidRPr="00B125F2">
        <w:rPr>
          <w:rFonts w:eastAsia="Times New Roman"/>
        </w:rPr>
        <w:t xml:space="preserve">w zw. z art. </w:t>
      </w:r>
      <w:r>
        <w:rPr>
          <w:rFonts w:eastAsia="Times New Roman"/>
        </w:rPr>
        <w:t>878 § 1</w:t>
      </w:r>
      <w:r w:rsidRPr="00B125F2">
        <w:rPr>
          <w:rFonts w:eastAsia="Times New Roman"/>
        </w:rPr>
        <w:t xml:space="preserve"> k.c.</w:t>
      </w:r>
      <w:r>
        <w:rPr>
          <w:rFonts w:eastAsia="Times New Roman"/>
        </w:rPr>
        <w:t xml:space="preserve"> oraz art. 58 § 2 k.c. orzekł</w:t>
      </w:r>
      <w:r w:rsidRPr="00B125F2">
        <w:rPr>
          <w:rFonts w:eastAsia="Times New Roman"/>
        </w:rPr>
        <w:t xml:space="preserve"> jak w pkt </w:t>
      </w:r>
      <w:r>
        <w:rPr>
          <w:rFonts w:eastAsia="Times New Roman"/>
        </w:rPr>
        <w:t>1</w:t>
      </w:r>
      <w:r w:rsidRPr="00B125F2">
        <w:rPr>
          <w:rFonts w:eastAsia="Times New Roman"/>
        </w:rPr>
        <w:t xml:space="preserve"> sentencji wyroku.</w:t>
      </w:r>
    </w:p>
    <w:p w:rsidR="00E02F38" w:rsidRDefault="00E02F38" w:rsidP="00E02F38">
      <w:pPr>
        <w:ind w:firstLine="426"/>
        <w:jc w:val="both"/>
        <w:rPr>
          <w:rFonts w:eastAsia="Times New Roman"/>
        </w:rPr>
      </w:pPr>
    </w:p>
    <w:p w:rsidR="00E02F38" w:rsidRPr="00B125F2" w:rsidRDefault="00E02F38" w:rsidP="00E02F38">
      <w:pPr>
        <w:ind w:firstLine="426"/>
        <w:jc w:val="both"/>
        <w:rPr>
          <w:rFonts w:eastAsia="Times New Roman"/>
        </w:rPr>
      </w:pPr>
      <w:r w:rsidRPr="00B125F2">
        <w:rPr>
          <w:rFonts w:eastAsia="Times New Roman"/>
        </w:rPr>
        <w:t xml:space="preserve">O kosztach postępowania w pkt </w:t>
      </w:r>
      <w:r>
        <w:rPr>
          <w:rFonts w:eastAsia="Times New Roman"/>
        </w:rPr>
        <w:t>2</w:t>
      </w:r>
      <w:r w:rsidRPr="00B125F2">
        <w:rPr>
          <w:rFonts w:eastAsia="Times New Roman"/>
        </w:rPr>
        <w:t xml:space="preserve"> orzeczono na podstawie art. 98 k.p.c.,</w:t>
      </w:r>
      <w:r>
        <w:rPr>
          <w:rFonts w:eastAsia="Times New Roman"/>
        </w:rPr>
        <w:t xml:space="preserve"> zgodnie z zasadą odpowiedzialności strony za wynik procesu,</w:t>
      </w:r>
      <w:r w:rsidRPr="00B125F2">
        <w:rPr>
          <w:rFonts w:eastAsia="Times New Roman"/>
        </w:rPr>
        <w:t xml:space="preserve"> mając na uwadze stawkę minimalnego wynagrodzenia określoną w</w:t>
      </w:r>
      <w:r>
        <w:rPr>
          <w:rFonts w:eastAsia="Times New Roman"/>
        </w:rPr>
        <w:t> </w:t>
      </w:r>
      <w:r w:rsidRPr="00B125F2">
        <w:rPr>
          <w:rFonts w:eastAsia="Times New Roman"/>
        </w:rPr>
        <w:t xml:space="preserve">§ </w:t>
      </w:r>
      <w:r>
        <w:rPr>
          <w:rFonts w:eastAsia="Times New Roman"/>
        </w:rPr>
        <w:t>3</w:t>
      </w:r>
      <w:r w:rsidRPr="00B125F2">
        <w:rPr>
          <w:rFonts w:eastAsia="Times New Roman"/>
        </w:rPr>
        <w:t xml:space="preserve"> pkt </w:t>
      </w:r>
      <w:r>
        <w:rPr>
          <w:rFonts w:eastAsia="Times New Roman"/>
        </w:rPr>
        <w:t>7</w:t>
      </w:r>
      <w:r w:rsidRPr="00B125F2">
        <w:rPr>
          <w:rFonts w:eastAsia="Times New Roman"/>
        </w:rPr>
        <w:t xml:space="preserve"> rozporządzenia Ministra Sprawiedliwości z dnia </w:t>
      </w:r>
      <w:r>
        <w:rPr>
          <w:rFonts w:eastAsia="Times New Roman"/>
        </w:rPr>
        <w:t xml:space="preserve">22 października </w:t>
      </w:r>
      <w:r w:rsidRPr="00B125F2">
        <w:rPr>
          <w:rFonts w:eastAsia="Times New Roman"/>
        </w:rPr>
        <w:t>20</w:t>
      </w:r>
      <w:r>
        <w:rPr>
          <w:rFonts w:eastAsia="Times New Roman"/>
        </w:rPr>
        <w:t>15</w:t>
      </w:r>
      <w:r w:rsidRPr="00B125F2">
        <w:rPr>
          <w:rFonts w:eastAsia="Times New Roman"/>
        </w:rPr>
        <w:t xml:space="preserve"> r. w sprawie opłat za czynności </w:t>
      </w:r>
      <w:r>
        <w:rPr>
          <w:rFonts w:eastAsia="Times New Roman"/>
        </w:rPr>
        <w:t xml:space="preserve">adwokackie </w:t>
      </w:r>
      <w:r w:rsidRPr="00B125F2">
        <w:rPr>
          <w:rFonts w:eastAsia="Times New Roman"/>
        </w:rPr>
        <w:t xml:space="preserve">(Dz. U. </w:t>
      </w:r>
      <w:r>
        <w:rPr>
          <w:rFonts w:eastAsia="Times New Roman"/>
        </w:rPr>
        <w:t>z 2015 r.</w:t>
      </w:r>
      <w:r w:rsidRPr="00B125F2">
        <w:rPr>
          <w:rFonts w:eastAsia="Times New Roman"/>
        </w:rPr>
        <w:t xml:space="preserve"> poz. </w:t>
      </w:r>
      <w:r>
        <w:rPr>
          <w:rFonts w:eastAsia="Times New Roman"/>
        </w:rPr>
        <w:t xml:space="preserve">1800 </w:t>
      </w:r>
      <w:r w:rsidRPr="00B125F2">
        <w:rPr>
          <w:rFonts w:eastAsia="Times New Roman"/>
        </w:rPr>
        <w:t>z późn. zm.).</w:t>
      </w:r>
    </w:p>
    <w:p w:rsidR="00E02F38" w:rsidRPr="00B125F2" w:rsidRDefault="00E02F38" w:rsidP="00E02F38">
      <w:pPr>
        <w:ind w:firstLine="426"/>
        <w:jc w:val="both"/>
        <w:rPr>
          <w:rFonts w:eastAsia="Times New Roman"/>
        </w:rPr>
      </w:pPr>
      <w:r>
        <w:rPr>
          <w:rFonts w:eastAsia="Times New Roman"/>
        </w:rPr>
        <w:t>Ponieważ pozwaną zwolniono kosztów sądowych w części, a to w zakresie opłaty od zarzutów od nakazu zapłaty wydanego w postępowaniu nakazowym, p</w:t>
      </w:r>
      <w:r w:rsidRPr="00B125F2">
        <w:rPr>
          <w:rFonts w:eastAsia="Times New Roman"/>
        </w:rPr>
        <w:t xml:space="preserve">owód został ponadto zobowiązany w pkt </w:t>
      </w:r>
      <w:r>
        <w:rPr>
          <w:rFonts w:eastAsia="Times New Roman"/>
        </w:rPr>
        <w:t>3</w:t>
      </w:r>
      <w:r w:rsidRPr="00B125F2">
        <w:rPr>
          <w:rFonts w:eastAsia="Times New Roman"/>
        </w:rPr>
        <w:t xml:space="preserve"> </w:t>
      </w:r>
      <w:r>
        <w:rPr>
          <w:rFonts w:eastAsia="Times New Roman"/>
        </w:rPr>
        <w:t xml:space="preserve">sentencji wyroku </w:t>
      </w:r>
      <w:r w:rsidRPr="00B125F2">
        <w:rPr>
          <w:rFonts w:eastAsia="Times New Roman"/>
        </w:rPr>
        <w:t xml:space="preserve">do </w:t>
      </w:r>
      <w:r>
        <w:rPr>
          <w:rFonts w:eastAsia="Times New Roman"/>
        </w:rPr>
        <w:t xml:space="preserve">uiszczenia kosztów </w:t>
      </w:r>
      <w:r w:rsidRPr="00B125F2">
        <w:rPr>
          <w:rFonts w:eastAsia="Times New Roman"/>
        </w:rPr>
        <w:t xml:space="preserve">poniesionych tymczasowo przez Skarb Państwa na podstawie art. </w:t>
      </w:r>
      <w:r>
        <w:rPr>
          <w:rFonts w:eastAsia="Times New Roman"/>
        </w:rPr>
        <w:t xml:space="preserve">113 </w:t>
      </w:r>
      <w:r w:rsidRPr="00B125F2">
        <w:rPr>
          <w:rFonts w:eastAsia="Times New Roman"/>
        </w:rPr>
        <w:t xml:space="preserve">ust. </w:t>
      </w:r>
      <w:r>
        <w:rPr>
          <w:rFonts w:eastAsia="Times New Roman"/>
        </w:rPr>
        <w:t xml:space="preserve">1 </w:t>
      </w:r>
      <w:r w:rsidRPr="00B125F2">
        <w:rPr>
          <w:rFonts w:eastAsia="Times New Roman"/>
        </w:rPr>
        <w:t xml:space="preserve">ustawy z dnia 28 lipca 2005 r. o kosztach sądowych w sprawach cywilnych (Dz. U. </w:t>
      </w:r>
      <w:r>
        <w:rPr>
          <w:rFonts w:eastAsia="Times New Roman"/>
        </w:rPr>
        <w:t>z 2019 r. poz. 785 ze zm.</w:t>
      </w:r>
      <w:r w:rsidRPr="00B125F2">
        <w:rPr>
          <w:rFonts w:eastAsia="Times New Roman"/>
        </w:rPr>
        <w:t>) w zw. z</w:t>
      </w:r>
      <w:r>
        <w:rPr>
          <w:rFonts w:eastAsia="Times New Roman"/>
        </w:rPr>
        <w:t> </w:t>
      </w:r>
      <w:r w:rsidRPr="00B125F2">
        <w:rPr>
          <w:rFonts w:eastAsia="Times New Roman"/>
        </w:rPr>
        <w:t>art.</w:t>
      </w:r>
      <w:r>
        <w:rPr>
          <w:rFonts w:eastAsia="Times New Roman"/>
        </w:rPr>
        <w:t> </w:t>
      </w:r>
      <w:r w:rsidRPr="00B125F2">
        <w:rPr>
          <w:rFonts w:eastAsia="Times New Roman"/>
        </w:rPr>
        <w:t>98 § 1 k.p.c.</w:t>
      </w:r>
    </w:p>
    <w:p w:rsidR="00E02F38" w:rsidRDefault="00E02F38" w:rsidP="00E02F38">
      <w:pPr>
        <w:ind w:firstLine="426"/>
        <w:jc w:val="both"/>
        <w:rPr>
          <w:rFonts w:eastAsia="Times New Roman"/>
        </w:rPr>
      </w:pPr>
    </w:p>
    <w:p w:rsidR="00E02F38" w:rsidRPr="00E02F38" w:rsidRDefault="00E02F38" w:rsidP="00E02F38">
      <w:pPr>
        <w:ind w:left="1701"/>
        <w:jc w:val="center"/>
        <w:rPr>
          <w:rFonts w:eastAsia="Times New Roman"/>
          <w:color w:val="2F5496" w:themeColor="accent5" w:themeShade="BF"/>
        </w:rPr>
      </w:pPr>
      <w:r w:rsidRPr="00E02F38">
        <w:rPr>
          <w:noProof/>
          <w:color w:val="2F5496" w:themeColor="accent5" w:themeShade="BF"/>
          <w:lang w:eastAsia="pl-PL"/>
        </w:rPr>
        <w:drawing>
          <wp:anchor distT="0" distB="0" distL="114300" distR="114300" simplePos="0" relativeHeight="251660288" behindDoc="0" locked="0" layoutInCell="1" allowOverlap="1" wp14:anchorId="24635DD5" wp14:editId="131388D3">
            <wp:simplePos x="0" y="0"/>
            <wp:positionH relativeFrom="column">
              <wp:posOffset>424180</wp:posOffset>
            </wp:positionH>
            <wp:positionV relativeFrom="paragraph">
              <wp:posOffset>10160</wp:posOffset>
            </wp:positionV>
            <wp:extent cx="1786890" cy="1285875"/>
            <wp:effectExtent l="0" t="0" r="3810" b="9525"/>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6890" cy="1285875"/>
                    </a:xfrm>
                    <a:prstGeom prst="rect">
                      <a:avLst/>
                    </a:prstGeom>
                    <a:noFill/>
                    <a:ln>
                      <a:noFill/>
                    </a:ln>
                  </pic:spPr>
                </pic:pic>
              </a:graphicData>
            </a:graphic>
          </wp:anchor>
        </w:drawing>
      </w:r>
      <w:r w:rsidRPr="00E02F38">
        <w:rPr>
          <w:rFonts w:eastAsia="Times New Roman"/>
          <w:color w:val="2F5496" w:themeColor="accent5" w:themeShade="BF"/>
        </w:rPr>
        <w:t>Na oryginale właściwe podpisy</w:t>
      </w:r>
      <w:r w:rsidRPr="00E02F38">
        <w:rPr>
          <w:rFonts w:eastAsia="Times New Roman"/>
          <w:color w:val="2F5496" w:themeColor="accent5" w:themeShade="BF"/>
        </w:rPr>
        <w:br/>
        <w:t>Za zgodność świadczy</w:t>
      </w:r>
      <w:r w:rsidRPr="00E02F38">
        <w:rPr>
          <w:rFonts w:eastAsia="Times New Roman"/>
          <w:color w:val="2F5496" w:themeColor="accent5" w:themeShade="BF"/>
        </w:rPr>
        <w:br/>
      </w:r>
    </w:p>
    <w:p w:rsidR="00E02F38" w:rsidRPr="00E02F38" w:rsidRDefault="00E02F38" w:rsidP="00E02F38">
      <w:pPr>
        <w:ind w:left="1701"/>
        <w:jc w:val="center"/>
        <w:rPr>
          <w:rFonts w:eastAsia="Times New Roman"/>
          <w:color w:val="2F5496" w:themeColor="accent5" w:themeShade="BF"/>
        </w:rPr>
      </w:pPr>
      <w:r w:rsidRPr="00E02F38">
        <w:rPr>
          <w:rFonts w:eastAsia="Times New Roman"/>
          <w:color w:val="2F5496" w:themeColor="accent5" w:themeShade="BF"/>
        </w:rPr>
        <w:t>Sekretarz sądowy</w:t>
      </w:r>
    </w:p>
    <w:p w:rsidR="00E02F38" w:rsidRPr="00E02F38" w:rsidRDefault="00E02F38" w:rsidP="00E02F38">
      <w:pPr>
        <w:ind w:left="1701"/>
        <w:jc w:val="center"/>
        <w:rPr>
          <w:rFonts w:eastAsia="Times New Roman"/>
          <w:i/>
          <w:color w:val="2F5496" w:themeColor="accent5" w:themeShade="BF"/>
        </w:rPr>
      </w:pPr>
    </w:p>
    <w:p w:rsidR="00E02F38" w:rsidRPr="00E02F38" w:rsidRDefault="00E02F38" w:rsidP="00E02F38">
      <w:pPr>
        <w:ind w:left="1701"/>
        <w:jc w:val="center"/>
        <w:rPr>
          <w:rFonts w:eastAsia="Times New Roman"/>
          <w:i/>
          <w:color w:val="2F5496" w:themeColor="accent5" w:themeShade="BF"/>
        </w:rPr>
      </w:pPr>
      <w:r w:rsidRPr="00E02F38">
        <w:rPr>
          <w:rFonts w:eastAsia="Times New Roman"/>
          <w:i/>
          <w:color w:val="2F5496" w:themeColor="accent5" w:themeShade="BF"/>
        </w:rPr>
        <w:t>Janusz Rozważny</w:t>
      </w:r>
    </w:p>
    <w:p w:rsidR="00E9629F" w:rsidRDefault="00E9629F" w:rsidP="00E02F38">
      <w:pPr>
        <w:ind w:firstLine="426"/>
        <w:jc w:val="both"/>
      </w:pPr>
    </w:p>
    <w:sectPr w:rsidR="00E9629F" w:rsidSect="00E02F3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2F38" w:rsidRDefault="00E02F38" w:rsidP="00E02F38">
      <w:r>
        <w:separator/>
      </w:r>
    </w:p>
  </w:endnote>
  <w:endnote w:type="continuationSeparator" w:id="0">
    <w:p w:rsidR="00E02F38" w:rsidRDefault="00E02F38" w:rsidP="00E02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sablanca">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2F38" w:rsidRDefault="00E02F38" w:rsidP="00E02F38">
      <w:r>
        <w:separator/>
      </w:r>
    </w:p>
  </w:footnote>
  <w:footnote w:type="continuationSeparator" w:id="0">
    <w:p w:rsidR="00E02F38" w:rsidRDefault="00E02F38" w:rsidP="00E02F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F38" w:rsidRPr="00E02F38" w:rsidRDefault="00E02F38" w:rsidP="00E02F38">
    <w:pPr>
      <w:pStyle w:val="Nagwek"/>
      <w:jc w:val="right"/>
      <w:rPr>
        <w:rFonts w:asciiTheme="minorHAnsi" w:hAnsiTheme="minorHAnsi"/>
        <w:sz w:val="40"/>
        <w:szCs w:val="40"/>
      </w:rPr>
    </w:pPr>
    <w:r w:rsidRPr="00E02F38">
      <w:rPr>
        <w:rFonts w:asciiTheme="minorHAnsi" w:hAnsiTheme="minorHAnsi"/>
        <w:sz w:val="40"/>
        <w:szCs w:val="40"/>
      </w:rPr>
      <w:t>ODPIS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FC34FC"/>
    <w:multiLevelType w:val="hybridMultilevel"/>
    <w:tmpl w:val="8A3456AA"/>
    <w:lvl w:ilvl="0" w:tplc="B248FEFC">
      <w:start w:val="1"/>
      <w:numFmt w:val="decimal"/>
      <w:pStyle w:val="Nagwek1"/>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nsid w:val="64817B4C"/>
    <w:multiLevelType w:val="hybridMultilevel"/>
    <w:tmpl w:val="52D2D0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F38"/>
    <w:rsid w:val="000078BD"/>
    <w:rsid w:val="003E67BB"/>
    <w:rsid w:val="00E02F38"/>
    <w:rsid w:val="00E962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216324-AAB3-41F8-82FB-DABAA5FBA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pl-PL"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02F38"/>
  </w:style>
  <w:style w:type="paragraph" w:styleId="Nagwek1">
    <w:name w:val="heading 1"/>
    <w:basedOn w:val="Normalny"/>
    <w:next w:val="Normalny"/>
    <w:link w:val="Nagwek1Znak"/>
    <w:autoRedefine/>
    <w:uiPriority w:val="99"/>
    <w:qFormat/>
    <w:rsid w:val="003E67BB"/>
    <w:pPr>
      <w:keepNext/>
      <w:numPr>
        <w:numId w:val="1"/>
      </w:numPr>
      <w:spacing w:before="120" w:after="120"/>
      <w:outlineLvl w:val="0"/>
    </w:pPr>
    <w:rPr>
      <w:rFonts w:ascii="Cambria" w:eastAsia="Times New Roman" w:hAnsi="Cambria"/>
      <w:b/>
      <w:bCs/>
      <w:lang w:val="x-none" w:eastAsia="x-none"/>
    </w:rPr>
  </w:style>
  <w:style w:type="paragraph" w:styleId="Nagwek2">
    <w:name w:val="heading 2"/>
    <w:basedOn w:val="Normalny"/>
    <w:next w:val="Normalny"/>
    <w:link w:val="Nagwek2Znak"/>
    <w:uiPriority w:val="99"/>
    <w:qFormat/>
    <w:rsid w:val="003E67BB"/>
    <w:pPr>
      <w:keepNext/>
      <w:jc w:val="center"/>
      <w:outlineLvl w:val="1"/>
    </w:pPr>
    <w:rPr>
      <w:rFonts w:ascii="Cambria" w:eastAsia="Times New Roman" w:hAnsi="Cambria"/>
      <w:b/>
      <w:bCs/>
      <w:i/>
      <w:iCs/>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sid w:val="003E67BB"/>
    <w:rPr>
      <w:sz w:val="16"/>
      <w:lang w:val="x-none" w:eastAsia="x-none"/>
    </w:rPr>
  </w:style>
  <w:style w:type="character" w:customStyle="1" w:styleId="TekstdymkaZnak">
    <w:name w:val="Tekst dymka Znak"/>
    <w:link w:val="Tekstdymka"/>
    <w:uiPriority w:val="99"/>
    <w:semiHidden/>
    <w:rsid w:val="003E67BB"/>
    <w:rPr>
      <w:rFonts w:ascii="Times New Roman" w:hAnsi="Times New Roman"/>
      <w:sz w:val="16"/>
      <w:szCs w:val="20"/>
      <w:lang w:val="x-none" w:eastAsia="x-none"/>
    </w:rPr>
  </w:style>
  <w:style w:type="paragraph" w:customStyle="1" w:styleId="Podstawowy">
    <w:name w:val="Podstawowy"/>
    <w:basedOn w:val="Normalny"/>
    <w:uiPriority w:val="99"/>
    <w:rsid w:val="003E67BB"/>
    <w:pPr>
      <w:ind w:firstLine="426"/>
      <w:jc w:val="both"/>
    </w:pPr>
    <w:rPr>
      <w:rFonts w:ascii="Casablanca" w:eastAsia="Times New Roman" w:hAnsi="Casablanca"/>
    </w:rPr>
  </w:style>
  <w:style w:type="character" w:customStyle="1" w:styleId="oznaczenie">
    <w:name w:val="oznaczenie"/>
    <w:uiPriority w:val="99"/>
    <w:rsid w:val="003E67BB"/>
    <w:rPr>
      <w:rFonts w:cs="Times New Roman"/>
    </w:rPr>
  </w:style>
  <w:style w:type="paragraph" w:customStyle="1" w:styleId="Standard">
    <w:name w:val="Standard"/>
    <w:rsid w:val="003E67BB"/>
    <w:pPr>
      <w:suppressAutoHyphens/>
      <w:textAlignment w:val="baseline"/>
    </w:pPr>
    <w:rPr>
      <w:rFonts w:eastAsia="SimSun"/>
      <w:kern w:val="1"/>
      <w:sz w:val="24"/>
      <w:szCs w:val="24"/>
      <w:lang w:eastAsia="hi-IN" w:bidi="hi-IN"/>
    </w:rPr>
  </w:style>
  <w:style w:type="character" w:customStyle="1" w:styleId="Nagwek1Znak">
    <w:name w:val="Nagłówek 1 Znak"/>
    <w:link w:val="Nagwek1"/>
    <w:uiPriority w:val="99"/>
    <w:rsid w:val="003E67BB"/>
    <w:rPr>
      <w:rFonts w:ascii="Cambria" w:eastAsia="Times New Roman" w:hAnsi="Cambria" w:cs="Times New Roman"/>
      <w:b/>
      <w:bCs/>
      <w:sz w:val="24"/>
      <w:szCs w:val="24"/>
      <w:lang w:val="x-none" w:eastAsia="x-none"/>
    </w:rPr>
  </w:style>
  <w:style w:type="character" w:customStyle="1" w:styleId="Nagwek2Znak">
    <w:name w:val="Nagłówek 2 Znak"/>
    <w:link w:val="Nagwek2"/>
    <w:uiPriority w:val="99"/>
    <w:rsid w:val="003E67BB"/>
    <w:rPr>
      <w:rFonts w:ascii="Cambria" w:eastAsia="Times New Roman" w:hAnsi="Cambria" w:cs="Times New Roman"/>
      <w:b/>
      <w:bCs/>
      <w:i/>
      <w:iCs/>
      <w:sz w:val="28"/>
      <w:szCs w:val="28"/>
      <w:lang w:val="x-none" w:eastAsia="x-none"/>
    </w:rPr>
  </w:style>
  <w:style w:type="paragraph" w:styleId="Tekstprzypisudolnego">
    <w:name w:val="footnote text"/>
    <w:basedOn w:val="Normalny"/>
    <w:link w:val="TekstprzypisudolnegoZnak"/>
    <w:uiPriority w:val="99"/>
    <w:semiHidden/>
    <w:rsid w:val="003E67BB"/>
    <w:rPr>
      <w:rFonts w:eastAsia="Times New Roman"/>
      <w:lang w:val="x-none" w:eastAsia="x-none"/>
    </w:rPr>
  </w:style>
  <w:style w:type="character" w:customStyle="1" w:styleId="TekstprzypisudolnegoZnak">
    <w:name w:val="Tekst przypisu dolnego Znak"/>
    <w:link w:val="Tekstprzypisudolnego"/>
    <w:uiPriority w:val="99"/>
    <w:semiHidden/>
    <w:rsid w:val="003E67BB"/>
    <w:rPr>
      <w:rFonts w:ascii="Times New Roman" w:eastAsia="Times New Roman" w:hAnsi="Times New Roman" w:cs="Times New Roman"/>
      <w:sz w:val="20"/>
      <w:szCs w:val="20"/>
      <w:lang w:val="x-none" w:eastAsia="x-none"/>
    </w:rPr>
  </w:style>
  <w:style w:type="paragraph" w:styleId="Tekstkomentarza">
    <w:name w:val="annotation text"/>
    <w:basedOn w:val="Normalny"/>
    <w:link w:val="TekstkomentarzaZnak"/>
    <w:uiPriority w:val="99"/>
    <w:semiHidden/>
    <w:rsid w:val="003E67BB"/>
    <w:rPr>
      <w:rFonts w:eastAsia="Times New Roman"/>
      <w:lang w:val="x-none" w:eastAsia="x-none"/>
    </w:rPr>
  </w:style>
  <w:style w:type="character" w:customStyle="1" w:styleId="TekstkomentarzaZnak">
    <w:name w:val="Tekst komentarza Znak"/>
    <w:link w:val="Tekstkomentarza"/>
    <w:uiPriority w:val="99"/>
    <w:semiHidden/>
    <w:rsid w:val="003E67BB"/>
    <w:rPr>
      <w:rFonts w:ascii="Times New Roman" w:eastAsia="Times New Roman" w:hAnsi="Times New Roman" w:cs="Times New Roman"/>
      <w:sz w:val="20"/>
      <w:szCs w:val="20"/>
      <w:lang w:val="x-none" w:eastAsia="x-none"/>
    </w:rPr>
  </w:style>
  <w:style w:type="paragraph" w:styleId="Nagwek">
    <w:name w:val="header"/>
    <w:basedOn w:val="Normalny"/>
    <w:link w:val="NagwekZnak"/>
    <w:unhideWhenUsed/>
    <w:rsid w:val="003E67BB"/>
    <w:pPr>
      <w:tabs>
        <w:tab w:val="center" w:pos="4536"/>
        <w:tab w:val="right" w:pos="9072"/>
      </w:tabs>
    </w:pPr>
    <w:rPr>
      <w:rFonts w:eastAsia="Times New Roman"/>
    </w:rPr>
  </w:style>
  <w:style w:type="character" w:customStyle="1" w:styleId="NagwekZnak">
    <w:name w:val="Nagłówek Znak"/>
    <w:link w:val="Nagwek"/>
    <w:rsid w:val="003E67BB"/>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3E67BB"/>
    <w:pPr>
      <w:tabs>
        <w:tab w:val="center" w:pos="4536"/>
        <w:tab w:val="right" w:pos="9072"/>
      </w:tabs>
    </w:pPr>
    <w:rPr>
      <w:rFonts w:eastAsia="Times New Roman"/>
      <w:lang w:val="x-none" w:eastAsia="x-none"/>
    </w:rPr>
  </w:style>
  <w:style w:type="character" w:customStyle="1" w:styleId="StopkaZnak">
    <w:name w:val="Stopka Znak"/>
    <w:link w:val="Stopka"/>
    <w:uiPriority w:val="99"/>
    <w:rsid w:val="003E67BB"/>
    <w:rPr>
      <w:rFonts w:ascii="Times New Roman" w:eastAsia="Times New Roman" w:hAnsi="Times New Roman" w:cs="Times New Roman"/>
      <w:sz w:val="24"/>
      <w:szCs w:val="24"/>
      <w:lang w:val="x-none" w:eastAsia="x-none"/>
    </w:rPr>
  </w:style>
  <w:style w:type="character" w:styleId="Odwoanieprzypisudolnego">
    <w:name w:val="footnote reference"/>
    <w:uiPriority w:val="99"/>
    <w:semiHidden/>
    <w:rsid w:val="003E67BB"/>
    <w:rPr>
      <w:rFonts w:cs="Times New Roman"/>
      <w:vertAlign w:val="superscript"/>
    </w:rPr>
  </w:style>
  <w:style w:type="character" w:styleId="Odwoaniedokomentarza">
    <w:name w:val="annotation reference"/>
    <w:uiPriority w:val="99"/>
    <w:semiHidden/>
    <w:rsid w:val="003E67BB"/>
    <w:rPr>
      <w:rFonts w:cs="Times New Roman"/>
      <w:sz w:val="16"/>
      <w:szCs w:val="16"/>
    </w:rPr>
  </w:style>
  <w:style w:type="character" w:styleId="Numerstrony">
    <w:name w:val="page number"/>
    <w:uiPriority w:val="99"/>
    <w:rsid w:val="003E67BB"/>
    <w:rPr>
      <w:rFonts w:cs="Times New Roman"/>
    </w:rPr>
  </w:style>
  <w:style w:type="character" w:styleId="Odwoanieprzypisukocowego">
    <w:name w:val="endnote reference"/>
    <w:uiPriority w:val="99"/>
    <w:semiHidden/>
    <w:rsid w:val="003E67BB"/>
    <w:rPr>
      <w:rFonts w:cs="Times New Roman"/>
      <w:vertAlign w:val="superscript"/>
    </w:rPr>
  </w:style>
  <w:style w:type="paragraph" w:styleId="Tekstprzypisukocowego">
    <w:name w:val="endnote text"/>
    <w:basedOn w:val="Normalny"/>
    <w:link w:val="TekstprzypisukocowegoZnak"/>
    <w:uiPriority w:val="99"/>
    <w:semiHidden/>
    <w:rsid w:val="003E67BB"/>
    <w:rPr>
      <w:rFonts w:eastAsia="Times New Roman"/>
      <w:lang w:val="x-none" w:eastAsia="x-none"/>
    </w:rPr>
  </w:style>
  <w:style w:type="character" w:customStyle="1" w:styleId="TekstprzypisukocowegoZnak">
    <w:name w:val="Tekst przypisu końcowego Znak"/>
    <w:link w:val="Tekstprzypisukocowego"/>
    <w:uiPriority w:val="99"/>
    <w:semiHidden/>
    <w:rsid w:val="003E67BB"/>
    <w:rPr>
      <w:rFonts w:ascii="Times New Roman" w:eastAsia="Times New Roman" w:hAnsi="Times New Roman" w:cs="Times New Roman"/>
      <w:sz w:val="20"/>
      <w:szCs w:val="20"/>
      <w:lang w:val="x-none" w:eastAsia="x-none"/>
    </w:rPr>
  </w:style>
  <w:style w:type="paragraph" w:styleId="Tekstpodstawowy">
    <w:name w:val="Body Text"/>
    <w:basedOn w:val="Normalny"/>
    <w:link w:val="TekstpodstawowyZnak"/>
    <w:uiPriority w:val="99"/>
    <w:rsid w:val="003E67BB"/>
    <w:pPr>
      <w:jc w:val="both"/>
    </w:pPr>
    <w:rPr>
      <w:rFonts w:eastAsia="Times New Roman"/>
      <w:lang w:val="x-none" w:eastAsia="x-none"/>
    </w:rPr>
  </w:style>
  <w:style w:type="character" w:customStyle="1" w:styleId="TekstpodstawowyZnak">
    <w:name w:val="Tekst podstawowy Znak"/>
    <w:link w:val="Tekstpodstawowy"/>
    <w:uiPriority w:val="99"/>
    <w:rsid w:val="003E67BB"/>
    <w:rPr>
      <w:rFonts w:ascii="Times New Roman" w:eastAsia="Times New Roman" w:hAnsi="Times New Roman" w:cs="Times New Roman"/>
      <w:sz w:val="24"/>
      <w:szCs w:val="24"/>
      <w:lang w:val="x-none" w:eastAsia="x-none"/>
    </w:rPr>
  </w:style>
  <w:style w:type="paragraph" w:styleId="Tekstpodstawowywcity">
    <w:name w:val="Body Text Indent"/>
    <w:basedOn w:val="Normalny"/>
    <w:link w:val="TekstpodstawowywcityZnak"/>
    <w:uiPriority w:val="99"/>
    <w:rsid w:val="003E67BB"/>
    <w:pPr>
      <w:ind w:left="4536"/>
    </w:pPr>
    <w:rPr>
      <w:rFonts w:eastAsia="Times New Roman"/>
      <w:lang w:val="x-none" w:eastAsia="x-none"/>
    </w:rPr>
  </w:style>
  <w:style w:type="character" w:customStyle="1" w:styleId="TekstpodstawowywcityZnak">
    <w:name w:val="Tekst podstawowy wcięty Znak"/>
    <w:link w:val="Tekstpodstawowywcity"/>
    <w:uiPriority w:val="99"/>
    <w:rsid w:val="003E67BB"/>
    <w:rPr>
      <w:rFonts w:ascii="Times New Roman" w:eastAsia="Times New Roman" w:hAnsi="Times New Roman" w:cs="Times New Roman"/>
      <w:sz w:val="24"/>
      <w:szCs w:val="24"/>
      <w:lang w:val="x-none" w:eastAsia="x-none"/>
    </w:rPr>
  </w:style>
  <w:style w:type="paragraph" w:styleId="Tekstpodstawowywcity2">
    <w:name w:val="Body Text Indent 2"/>
    <w:basedOn w:val="Normalny"/>
    <w:link w:val="Tekstpodstawowywcity2Znak"/>
    <w:uiPriority w:val="99"/>
    <w:rsid w:val="003E67BB"/>
    <w:pPr>
      <w:ind w:left="4536" w:hanging="1701"/>
    </w:pPr>
    <w:rPr>
      <w:rFonts w:eastAsia="Times New Roman"/>
      <w:lang w:val="x-none" w:eastAsia="x-none"/>
    </w:rPr>
  </w:style>
  <w:style w:type="character" w:customStyle="1" w:styleId="Tekstpodstawowywcity2Znak">
    <w:name w:val="Tekst podstawowy wcięty 2 Znak"/>
    <w:link w:val="Tekstpodstawowywcity2"/>
    <w:uiPriority w:val="99"/>
    <w:rsid w:val="003E67BB"/>
    <w:rPr>
      <w:rFonts w:ascii="Times New Roman" w:eastAsia="Times New Roman" w:hAnsi="Times New Roman" w:cs="Times New Roman"/>
      <w:sz w:val="24"/>
      <w:szCs w:val="24"/>
      <w:lang w:val="x-none" w:eastAsia="x-none"/>
    </w:rPr>
  </w:style>
  <w:style w:type="paragraph" w:styleId="Tekstpodstawowywcity3">
    <w:name w:val="Body Text Indent 3"/>
    <w:basedOn w:val="Normalny"/>
    <w:link w:val="Tekstpodstawowywcity3Znak"/>
    <w:uiPriority w:val="99"/>
    <w:rsid w:val="003E67BB"/>
    <w:pPr>
      <w:ind w:firstLine="426"/>
      <w:jc w:val="both"/>
    </w:pPr>
    <w:rPr>
      <w:rFonts w:eastAsia="Times New Roman"/>
      <w:sz w:val="16"/>
      <w:szCs w:val="16"/>
      <w:lang w:val="x-none" w:eastAsia="x-none"/>
    </w:rPr>
  </w:style>
  <w:style w:type="character" w:customStyle="1" w:styleId="Tekstpodstawowywcity3Znak">
    <w:name w:val="Tekst podstawowy wcięty 3 Znak"/>
    <w:link w:val="Tekstpodstawowywcity3"/>
    <w:uiPriority w:val="99"/>
    <w:rsid w:val="003E67BB"/>
    <w:rPr>
      <w:rFonts w:ascii="Times New Roman" w:eastAsia="Times New Roman" w:hAnsi="Times New Roman" w:cs="Times New Roman"/>
      <w:sz w:val="16"/>
      <w:szCs w:val="16"/>
      <w:lang w:val="x-none" w:eastAsia="x-none"/>
    </w:rPr>
  </w:style>
  <w:style w:type="character" w:styleId="Hipercze">
    <w:name w:val="Hyperlink"/>
    <w:uiPriority w:val="99"/>
    <w:unhideWhenUsed/>
    <w:rsid w:val="003E67BB"/>
    <w:rPr>
      <w:color w:val="0000FF"/>
      <w:u w:val="single"/>
    </w:rPr>
  </w:style>
  <w:style w:type="character" w:styleId="UyteHipercze">
    <w:name w:val="FollowedHyperlink"/>
    <w:uiPriority w:val="99"/>
    <w:semiHidden/>
    <w:unhideWhenUsed/>
    <w:rsid w:val="003E67BB"/>
    <w:rPr>
      <w:color w:val="800080"/>
      <w:u w:val="single"/>
    </w:rPr>
  </w:style>
  <w:style w:type="paragraph" w:styleId="Tematkomentarza">
    <w:name w:val="annotation subject"/>
    <w:basedOn w:val="Tekstkomentarza"/>
    <w:next w:val="Tekstkomentarza"/>
    <w:link w:val="TematkomentarzaZnak"/>
    <w:uiPriority w:val="99"/>
    <w:semiHidden/>
    <w:rsid w:val="003E67BB"/>
    <w:rPr>
      <w:b/>
      <w:bCs/>
    </w:rPr>
  </w:style>
  <w:style w:type="character" w:customStyle="1" w:styleId="TematkomentarzaZnak">
    <w:name w:val="Temat komentarza Znak"/>
    <w:link w:val="Tematkomentarza"/>
    <w:uiPriority w:val="99"/>
    <w:semiHidden/>
    <w:rsid w:val="003E67BB"/>
    <w:rPr>
      <w:rFonts w:ascii="Times New Roman" w:eastAsia="Times New Roman" w:hAnsi="Times New Roman" w:cs="Times New Roman"/>
      <w:b/>
      <w:bCs/>
      <w:sz w:val="20"/>
      <w:szCs w:val="20"/>
      <w:lang w:val="x-none" w:eastAsia="x-none"/>
    </w:rPr>
  </w:style>
  <w:style w:type="paragraph" w:styleId="Akapitzlist">
    <w:name w:val="List Paragraph"/>
    <w:basedOn w:val="Normalny"/>
    <w:uiPriority w:val="34"/>
    <w:qFormat/>
    <w:rsid w:val="00E02F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2744</Words>
  <Characters>16468</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 mateusz_pilich</dc:creator>
  <cp:keywords/>
  <dc:description/>
  <cp:lastModifiedBy>Mateusz mateusz_pilich</cp:lastModifiedBy>
  <cp:revision>1</cp:revision>
  <dcterms:created xsi:type="dcterms:W3CDTF">2019-12-02T21:47:00Z</dcterms:created>
  <dcterms:modified xsi:type="dcterms:W3CDTF">2019-12-02T22:00:00Z</dcterms:modified>
</cp:coreProperties>
</file>